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A2" w:rsidRDefault="007648A2" w:rsidP="007648A2">
      <w:pPr>
        <w:rPr>
          <w:b/>
          <w:sz w:val="28"/>
          <w:szCs w:val="28"/>
        </w:rPr>
      </w:pPr>
      <w:r w:rsidRPr="00926D30">
        <w:rPr>
          <w:b/>
          <w:sz w:val="28"/>
          <w:szCs w:val="28"/>
        </w:rPr>
        <w:t>ÁREA DE CIENCIAS SOCIALES</w:t>
      </w:r>
    </w:p>
    <w:p w:rsidR="007648A2" w:rsidRDefault="007648A2" w:rsidP="00764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Asignatura: Taller de Integración Curricular</w:t>
      </w:r>
    </w:p>
    <w:p w:rsidR="007648A2" w:rsidRDefault="007648A2" w:rsidP="00764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Docente: Díaz Santiago</w:t>
      </w:r>
    </w:p>
    <w:p w:rsidR="007648A2" w:rsidRPr="00926D30" w:rsidRDefault="007648A2" w:rsidP="00764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Cursos: 4° C</w:t>
      </w:r>
    </w:p>
    <w:p w:rsidR="007648A2" w:rsidRDefault="007648A2" w:rsidP="007648A2">
      <w:pPr>
        <w:jc w:val="center"/>
        <w:rPr>
          <w:b/>
          <w:sz w:val="28"/>
          <w:szCs w:val="28"/>
        </w:rPr>
      </w:pPr>
      <w:r w:rsidRPr="00926D30">
        <w:rPr>
          <w:b/>
          <w:sz w:val="28"/>
          <w:szCs w:val="28"/>
        </w:rPr>
        <w:t>Actividades:</w:t>
      </w:r>
    </w:p>
    <w:p w:rsidR="007648A2" w:rsidRDefault="007648A2" w:rsidP="007648A2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Leer el siguiente artículo periodístico y responder: </w:t>
      </w:r>
    </w:p>
    <w:p w:rsidR="007648A2" w:rsidRDefault="007648A2" w:rsidP="007648A2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¿Qué es el permafrost?</w:t>
      </w:r>
    </w:p>
    <w:p w:rsidR="007648A2" w:rsidRPr="007648A2" w:rsidRDefault="007648A2" w:rsidP="007648A2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¿Cuáles son los peligros del derretimiento del permafrost? Citar un ejemplo.</w:t>
      </w:r>
    </w:p>
    <w:p w:rsidR="007648A2" w:rsidRDefault="007648A2" w:rsidP="007648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iCs/>
          <w:color w:val="212529"/>
          <w:sz w:val="24"/>
          <w:szCs w:val="24"/>
          <w:lang w:eastAsia="es-AR"/>
        </w:rPr>
      </w:pPr>
    </w:p>
    <w:p w:rsidR="007648A2" w:rsidRPr="007648A2" w:rsidRDefault="007648A2" w:rsidP="007648A2">
      <w:pPr>
        <w:pStyle w:val="Ttulo1"/>
        <w:shd w:val="clear" w:color="auto" w:fill="F4F4F4"/>
        <w:spacing w:before="120" w:beforeAutospacing="0" w:after="0" w:afterAutospacing="0" w:line="780" w:lineRule="atLeast"/>
        <w:rPr>
          <w:rFonts w:ascii="Arial" w:hAnsi="Arial" w:cs="Arial"/>
          <w:color w:val="008ABE"/>
          <w:sz w:val="72"/>
          <w:szCs w:val="72"/>
        </w:rPr>
      </w:pPr>
      <w:r>
        <w:rPr>
          <w:rFonts w:ascii="Arial" w:hAnsi="Arial" w:cs="Arial"/>
          <w:color w:val="008ABE"/>
          <w:sz w:val="72"/>
          <w:szCs w:val="72"/>
        </w:rPr>
        <w:t>Los peligros del derretimiento del permafrost</w:t>
      </w:r>
    </w:p>
    <w:p w:rsidR="007648A2" w:rsidRDefault="007648A2" w:rsidP="007648A2">
      <w:pPr>
        <w:shd w:val="clear" w:color="auto" w:fill="ECECEC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es-AR"/>
        </w:rPr>
        <w:lastRenderedPageBreak/>
        <w:drawing>
          <wp:inline distT="0" distB="0" distL="0" distR="0">
            <wp:extent cx="9144000" cy="6096000"/>
            <wp:effectExtent l="19050" t="0" r="0" b="0"/>
            <wp:docPr id="11" name="Imagen 11" descr="https://images.pagina12.com.ar/styles/focal_3_2_960x640/public/media/articles/18044/permafrost-_0.jpg?itok=QhQs-S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pagina12.com.ar/styles/focal_3_2_960x640/public/media/articles/18044/permafrost-_0.jpg?itok=QhQs-S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A2" w:rsidRDefault="007648A2" w:rsidP="007648A2">
      <w:pPr>
        <w:pStyle w:val="NormalWeb"/>
        <w:shd w:val="clear" w:color="auto" w:fill="F4F4F4"/>
        <w:spacing w:line="45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El </w:t>
      </w:r>
      <w:r>
        <w:rPr>
          <w:rFonts w:ascii="Arial" w:hAnsi="Arial" w:cs="Arial"/>
          <w:b/>
          <w:bCs/>
          <w:color w:val="000000"/>
          <w:sz w:val="27"/>
          <w:szCs w:val="27"/>
        </w:rPr>
        <w:t>permafrost </w:t>
      </w:r>
      <w:r>
        <w:rPr>
          <w:rFonts w:ascii="Arial" w:hAnsi="Arial" w:cs="Arial"/>
          <w:color w:val="000000"/>
          <w:sz w:val="27"/>
          <w:szCs w:val="27"/>
        </w:rPr>
        <w:t>es </w:t>
      </w:r>
      <w:r>
        <w:rPr>
          <w:rFonts w:ascii="Arial" w:hAnsi="Arial" w:cs="Arial"/>
          <w:b/>
          <w:bCs/>
          <w:color w:val="000000"/>
          <w:sz w:val="27"/>
          <w:szCs w:val="27"/>
        </w:rPr>
        <w:t>la capa de terreno que se encuentra permanente (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perma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) helada (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frost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 durante dos años o más consecutivos. Tiene una </w:t>
      </w:r>
      <w:r>
        <w:rPr>
          <w:rFonts w:ascii="Arial" w:hAnsi="Arial" w:cs="Arial"/>
          <w:b/>
          <w:bCs/>
          <w:color w:val="000000"/>
          <w:sz w:val="27"/>
          <w:szCs w:val="27"/>
        </w:rPr>
        <w:t>edad geológica de más de 15.000 años</w:t>
      </w:r>
      <w:r>
        <w:rPr>
          <w:rFonts w:ascii="Arial" w:hAnsi="Arial" w:cs="Arial"/>
          <w:color w:val="000000"/>
          <w:sz w:val="27"/>
          <w:szCs w:val="27"/>
        </w:rPr>
        <w:t> y se encuentra bajo la capa de suelo activa, principalmente en Canadá, la Antártida, Alaska, Rusia, Mongolia y norte de Europa.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Cubre aproximadamente el 24% de la superficie del Hemisferio Norte y almacena inmensas cantidades de metano y dióxido de carbono</w:t>
      </w:r>
      <w:r>
        <w:rPr>
          <w:rFonts w:ascii="Arial" w:hAnsi="Arial" w:cs="Arial"/>
          <w:color w:val="000000"/>
          <w:sz w:val="27"/>
          <w:szCs w:val="27"/>
        </w:rPr>
        <w:t xml:space="preserve">. Sin embargo, esta capa de terreno permanentemente congelada se está </w:t>
      </w:r>
      <w:r>
        <w:rPr>
          <w:rFonts w:ascii="Arial" w:hAnsi="Arial" w:cs="Arial"/>
          <w:color w:val="000000"/>
          <w:sz w:val="27"/>
          <w:szCs w:val="27"/>
        </w:rPr>
        <w:lastRenderedPageBreak/>
        <w:t>viendo </w:t>
      </w:r>
      <w:r>
        <w:rPr>
          <w:rFonts w:ascii="Arial" w:hAnsi="Arial" w:cs="Arial"/>
          <w:b/>
          <w:bCs/>
          <w:color w:val="000000"/>
          <w:sz w:val="27"/>
          <w:szCs w:val="27"/>
        </w:rPr>
        <w:t>gravemente amenazada por el calentamiento global</w:t>
      </w:r>
      <w:r>
        <w:rPr>
          <w:rFonts w:ascii="Arial" w:hAnsi="Arial" w:cs="Arial"/>
          <w:color w:val="000000"/>
          <w:sz w:val="27"/>
          <w:szCs w:val="27"/>
        </w:rPr>
        <w:t> con una serie de consecuencias que ya se están dejando sentir.</w:t>
      </w:r>
    </w:p>
    <w:p w:rsidR="007648A2" w:rsidRDefault="007648A2" w:rsidP="007648A2">
      <w:pPr>
        <w:pStyle w:val="NormalWeb"/>
        <w:shd w:val="clear" w:color="auto" w:fill="F4F4F4"/>
        <w:spacing w:line="45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El permafrost almacena gases contaminantes</w:t>
      </w:r>
      <w:r>
        <w:rPr>
          <w:rFonts w:ascii="Arial" w:hAnsi="Arial" w:cs="Arial"/>
          <w:color w:val="000000"/>
          <w:sz w:val="27"/>
          <w:szCs w:val="27"/>
        </w:rPr>
        <w:t>, entre ellos algunos de los principales responsables del efecto invernadero. Básicamente es un reservorio de carbono y aproximadamente 1.8 billones de toneladas de CO2 y metano se encuentran atrapados en él. Con la amenaza del cambio climático podrían ser liberados progresivamente a la atmósfera, produciendo una retroalimentación negativa a la situación actual.</w:t>
      </w:r>
    </w:p>
    <w:p w:rsidR="007648A2" w:rsidRDefault="007648A2" w:rsidP="007648A2">
      <w:pPr>
        <w:pStyle w:val="NormalWeb"/>
        <w:shd w:val="clear" w:color="auto" w:fill="F4F4F4"/>
        <w:spacing w:line="45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Debido a la existencia de esta capa de suelo congelada, en el archipiélago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Svalbard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(situado en el Océano Glacial Ártico, al norte del continente europeo, forma parte de Noruega) nadie puede ser enterrado ya que los cadáveres no se descomponen. Sin embargo, debido a la reducción del permafrost se han encontrado </w:t>
      </w:r>
      <w:r>
        <w:rPr>
          <w:rFonts w:ascii="Arial" w:hAnsi="Arial" w:cs="Arial"/>
          <w:b/>
          <w:bCs/>
          <w:color w:val="000000"/>
          <w:sz w:val="27"/>
          <w:szCs w:val="27"/>
        </w:rPr>
        <w:t>cadáveres de comienzos del siglo XX casi en perfecta conservación</w:t>
      </w:r>
      <w:r>
        <w:rPr>
          <w:rFonts w:ascii="Arial" w:hAnsi="Arial" w:cs="Arial"/>
          <w:color w:val="000000"/>
          <w:sz w:val="27"/>
          <w:szCs w:val="27"/>
        </w:rPr>
        <w:t>. Esto conlleva un grave riesgo para la población, ya que en concreto algunos de ellos se encontraban</w:t>
      </w:r>
      <w:r>
        <w:rPr>
          <w:rFonts w:ascii="Arial" w:hAnsi="Arial" w:cs="Arial"/>
          <w:b/>
          <w:bCs/>
          <w:color w:val="000000"/>
          <w:sz w:val="27"/>
          <w:szCs w:val="27"/>
        </w:rPr>
        <w:t> infectados con el virus de la gripe española</w:t>
      </w:r>
      <w:r>
        <w:rPr>
          <w:rFonts w:ascii="Arial" w:hAnsi="Arial" w:cs="Arial"/>
          <w:color w:val="000000"/>
          <w:sz w:val="27"/>
          <w:szCs w:val="27"/>
        </w:rPr>
        <w:t>, latente en sus cuerpos.</w:t>
      </w:r>
    </w:p>
    <w:p w:rsidR="007648A2" w:rsidRDefault="007648A2" w:rsidP="007648A2">
      <w:pPr>
        <w:pStyle w:val="NormalWeb"/>
        <w:shd w:val="clear" w:color="auto" w:fill="F4F4F4"/>
        <w:spacing w:line="45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</w:t>
      </w:r>
      <w:r>
        <w:rPr>
          <w:rFonts w:ascii="Arial" w:hAnsi="Arial" w:cs="Arial"/>
          <w:b/>
          <w:bCs/>
          <w:color w:val="000000"/>
          <w:sz w:val="27"/>
          <w:szCs w:val="27"/>
        </w:rPr>
        <w:t>n el año 2016, se encontró el cadáver de un reno perfectamente conservado en Siberia infectado con ántrax</w:t>
      </w:r>
      <w:r>
        <w:rPr>
          <w:rFonts w:ascii="Arial" w:hAnsi="Arial" w:cs="Arial"/>
          <w:color w:val="000000"/>
          <w:sz w:val="27"/>
          <w:szCs w:val="27"/>
        </w:rPr>
        <w:t> y que contagió a 20 personas de una localidad cercana. Y es que el permafrost no solo conserva en perfecto estado los cuerpos sino también graves amenazas como los virus. Con el calentamiento global están saliendo a la luz muchos casos como éstos y también muchas amenazas que se encontraban ocultas.</w:t>
      </w:r>
    </w:p>
    <w:p w:rsidR="007648A2" w:rsidRDefault="007648A2" w:rsidP="007648A2">
      <w:pPr>
        <w:pStyle w:val="NormalWeb"/>
        <w:shd w:val="clear" w:color="auto" w:fill="F4F4F4"/>
        <w:spacing w:line="45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Ya en 2011, científicos rusos habían advertido que un aumento de temperatura podría liberar virus y bacterias congelados en el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premafrost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“Como consecuencia de la fusión del permafrost,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podrían </w:t>
      </w: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volver los vectores de algunas epidemias mortíferas de los siglos XVIII y XIX</w:t>
      </w:r>
      <w:r>
        <w:rPr>
          <w:rFonts w:ascii="Arial" w:hAnsi="Arial" w:cs="Arial"/>
          <w:color w:val="000000"/>
          <w:sz w:val="27"/>
          <w:szCs w:val="27"/>
        </w:rPr>
        <w:t>, sobre todo cerca de los cementerios donde se enterró a las víctimas".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</w:p>
    <w:p w:rsidR="007648A2" w:rsidRDefault="007648A2" w:rsidP="007648A2">
      <w:pPr>
        <w:pStyle w:val="NormalWeb"/>
        <w:shd w:val="clear" w:color="auto" w:fill="F4F4F4"/>
        <w:spacing w:line="45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El </w:t>
      </w:r>
      <w:r>
        <w:rPr>
          <w:rFonts w:ascii="Arial" w:hAnsi="Arial" w:cs="Arial"/>
          <w:b/>
          <w:bCs/>
          <w:color w:val="000000"/>
          <w:sz w:val="27"/>
          <w:szCs w:val="27"/>
        </w:rPr>
        <w:t>calentamiento climático en el Ártico puede aumentar el riesgo de zoonosis</w:t>
      </w:r>
      <w:r>
        <w:rPr>
          <w:rFonts w:ascii="Arial" w:hAnsi="Arial" w:cs="Arial"/>
          <w:color w:val="000000"/>
          <w:sz w:val="27"/>
          <w:szCs w:val="27"/>
        </w:rPr>
        <w:t> debido a la expansión de los hábitats de los vectores, la mejora de las </w:t>
      </w:r>
      <w:r>
        <w:rPr>
          <w:rFonts w:ascii="Arial" w:hAnsi="Arial" w:cs="Arial"/>
          <w:b/>
          <w:bCs/>
          <w:color w:val="000000"/>
          <w:sz w:val="27"/>
          <w:szCs w:val="27"/>
        </w:rPr>
        <w:t>posibilidades de supervivencia de los vectores durante el invierno y la degradación del permafrost</w:t>
      </w:r>
      <w:r>
        <w:rPr>
          <w:rFonts w:ascii="Arial" w:hAnsi="Arial" w:cs="Arial"/>
          <w:color w:val="000000"/>
          <w:sz w:val="27"/>
          <w:szCs w:val="27"/>
        </w:rPr>
        <w:t>. El monitoreo de la temperatura del suelo en las estaciones de control de criología siberiana desde 1970 mostró correlaciones entre la temperatura del aire y la profundidad de la capa de permafrost que se descongeló durante la temporada de verano. Entre 1900 y 1980, la temperatura de la capa superficial de permafrost aumentó en 2-4 ° C; y se espera un aumento adicional de 3 ° C. </w:t>
      </w:r>
    </w:p>
    <w:p w:rsidR="007648A2" w:rsidRDefault="007648A2" w:rsidP="007648A2">
      <w:pPr>
        <w:pStyle w:val="NormalWeb"/>
        <w:shd w:val="clear" w:color="auto" w:fill="F4F4F4"/>
        <w:spacing w:line="45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Entre 1897 y 1925 hubo brotes frecuentes de ántrax que causaron la muerte de 1,5 millones de ciervos en el norte ruso.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Desde el 2000, se informó de casos de ántrax entre personas o ganado en 29.000 asentamientos del norte ruso</w:t>
      </w:r>
      <w:r>
        <w:rPr>
          <w:rFonts w:ascii="Arial" w:hAnsi="Arial" w:cs="Arial"/>
          <w:color w:val="000000"/>
          <w:sz w:val="27"/>
          <w:szCs w:val="27"/>
        </w:rPr>
        <w:t>,  que se encuentran cerca de los cementerios de ganado que murió de ántrax. </w:t>
      </w:r>
    </w:p>
    <w:p w:rsidR="0070071D" w:rsidRDefault="007648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Fecha de entrega: 21/04</w:t>
      </w:r>
    </w:p>
    <w:p w:rsidR="007648A2" w:rsidRDefault="007648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Mail de entrega: </w:t>
      </w:r>
      <w:hyperlink r:id="rId6" w:history="1">
        <w:r w:rsidRPr="00693AA1">
          <w:rPr>
            <w:rStyle w:val="Hipervnculo"/>
            <w:rFonts w:ascii="Arial" w:hAnsi="Arial" w:cs="Arial"/>
            <w:b/>
            <w:sz w:val="28"/>
            <w:szCs w:val="28"/>
          </w:rPr>
          <w:t>santigabrieldiaz@gmail.com</w:t>
        </w:r>
      </w:hyperlink>
    </w:p>
    <w:p w:rsidR="007648A2" w:rsidRPr="007648A2" w:rsidRDefault="007648A2">
      <w:pPr>
        <w:rPr>
          <w:rFonts w:ascii="Arial" w:hAnsi="Arial" w:cs="Arial"/>
          <w:b/>
          <w:sz w:val="28"/>
          <w:szCs w:val="28"/>
        </w:rPr>
      </w:pPr>
    </w:p>
    <w:sectPr w:rsidR="007648A2" w:rsidRPr="007648A2" w:rsidSect="00626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F73"/>
    <w:multiLevelType w:val="hybridMultilevel"/>
    <w:tmpl w:val="825A2E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2B9"/>
    <w:multiLevelType w:val="hybridMultilevel"/>
    <w:tmpl w:val="F8DA4E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F32FF"/>
    <w:multiLevelType w:val="hybridMultilevel"/>
    <w:tmpl w:val="778801F6"/>
    <w:lvl w:ilvl="0" w:tplc="6130C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A70E9C"/>
    <w:multiLevelType w:val="multilevel"/>
    <w:tmpl w:val="302E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648A2"/>
    <w:rsid w:val="006260BB"/>
    <w:rsid w:val="007648A2"/>
    <w:rsid w:val="00BD26B4"/>
    <w:rsid w:val="00FA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A2"/>
  </w:style>
  <w:style w:type="paragraph" w:styleId="Ttulo1">
    <w:name w:val="heading 1"/>
    <w:basedOn w:val="Normal"/>
    <w:link w:val="Ttulo1Car"/>
    <w:uiPriority w:val="9"/>
    <w:qFormat/>
    <w:rsid w:val="00764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5">
    <w:name w:val="heading 5"/>
    <w:basedOn w:val="Normal"/>
    <w:link w:val="Ttulo5Car"/>
    <w:uiPriority w:val="9"/>
    <w:qFormat/>
    <w:rsid w:val="007648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48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8A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48A2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7648A2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76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label-read-more">
    <w:name w:val="label-read-more"/>
    <w:basedOn w:val="Fuentedeprrafopredeter"/>
    <w:rsid w:val="007648A2"/>
  </w:style>
  <w:style w:type="character" w:customStyle="1" w:styleId="label-1">
    <w:name w:val="label-1"/>
    <w:basedOn w:val="Fuentedeprrafopredeter"/>
    <w:rsid w:val="007648A2"/>
  </w:style>
  <w:style w:type="character" w:customStyle="1" w:styleId="label-4">
    <w:name w:val="label-4"/>
    <w:basedOn w:val="Fuentedeprrafopredeter"/>
    <w:rsid w:val="007648A2"/>
  </w:style>
  <w:style w:type="paragraph" w:styleId="Textodeglobo">
    <w:name w:val="Balloon Text"/>
    <w:basedOn w:val="Normal"/>
    <w:link w:val="TextodegloboCar"/>
    <w:uiPriority w:val="99"/>
    <w:semiHidden/>
    <w:unhideWhenUsed/>
    <w:rsid w:val="0076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26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458">
          <w:marLeft w:val="0"/>
          <w:marRight w:val="0"/>
          <w:marTop w:val="0"/>
          <w:marBottom w:val="0"/>
          <w:divBdr>
            <w:top w:val="single" w:sz="12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96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7307">
              <w:marLeft w:val="0"/>
              <w:marRight w:val="24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2817">
              <w:marLeft w:val="0"/>
              <w:marRight w:val="24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93692">
              <w:marLeft w:val="0"/>
              <w:marRight w:val="24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2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024">
          <w:marLeft w:val="0"/>
          <w:marRight w:val="0"/>
          <w:marTop w:val="0"/>
          <w:marBottom w:val="0"/>
          <w:divBdr>
            <w:top w:val="single" w:sz="12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8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7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4155">
              <w:marLeft w:val="0"/>
              <w:marRight w:val="24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38069">
              <w:marLeft w:val="0"/>
              <w:marRight w:val="24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33">
              <w:marLeft w:val="0"/>
              <w:marRight w:val="24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1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44">
          <w:marLeft w:val="0"/>
          <w:marRight w:val="0"/>
          <w:marTop w:val="0"/>
          <w:marBottom w:val="0"/>
          <w:divBdr>
            <w:top w:val="single" w:sz="12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30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634">
              <w:marLeft w:val="0"/>
              <w:marRight w:val="24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98823">
              <w:marLeft w:val="0"/>
              <w:marRight w:val="24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17798">
              <w:marLeft w:val="0"/>
              <w:marRight w:val="24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igabrieldia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570</Words>
  <Characters>3136</Characters>
  <Application>Microsoft Office Word</Application>
  <DocSecurity>0</DocSecurity>
  <Lines>26</Lines>
  <Paragraphs>7</Paragraphs>
  <ScaleCrop>false</ScaleCrop>
  <Company>Hewlett-Packard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1</cp:revision>
  <dcterms:created xsi:type="dcterms:W3CDTF">2020-04-08T01:13:00Z</dcterms:created>
  <dcterms:modified xsi:type="dcterms:W3CDTF">2020-04-08T01:19:00Z</dcterms:modified>
</cp:coreProperties>
</file>