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5E" w:rsidRDefault="00502B5E" w:rsidP="00502B5E">
      <w:pPr>
        <w:jc w:val="center"/>
        <w:rPr>
          <w:b/>
          <w:sz w:val="48"/>
          <w:szCs w:val="48"/>
          <w:lang w:val="es-AR"/>
        </w:rPr>
      </w:pPr>
      <w:r w:rsidRPr="00434586">
        <w:rPr>
          <w:b/>
          <w:sz w:val="48"/>
          <w:szCs w:val="48"/>
          <w:lang w:val="es-AR"/>
        </w:rPr>
        <w:t xml:space="preserve">TRABAJO PRACTICO WORD </w:t>
      </w:r>
    </w:p>
    <w:p w:rsidR="00502B5E" w:rsidRPr="00434586" w:rsidRDefault="00502B5E" w:rsidP="00502B5E">
      <w:pPr>
        <w:jc w:val="center"/>
        <w:rPr>
          <w:b/>
          <w:sz w:val="48"/>
          <w:szCs w:val="48"/>
        </w:rPr>
      </w:pPr>
      <w:r w:rsidRPr="00117083">
        <w:rPr>
          <w:rFonts w:ascii="Arial" w:hAnsi="Arial" w:cs="Arial"/>
          <w:b/>
          <w:sz w:val="28"/>
        </w:rPr>
        <w:t xml:space="preserve">CURSOS: </w:t>
      </w:r>
      <w:r>
        <w:rPr>
          <w:rFonts w:ascii="Arial" w:hAnsi="Arial" w:cs="Arial"/>
          <w:b/>
          <w:sz w:val="28"/>
        </w:rPr>
        <w:t>2</w:t>
      </w:r>
      <w:r w:rsidRPr="00117083">
        <w:rPr>
          <w:rFonts w:ascii="Arial" w:hAnsi="Arial" w:cs="Arial"/>
          <w:b/>
          <w:sz w:val="28"/>
        </w:rPr>
        <w:t xml:space="preserve">° A, </w:t>
      </w:r>
      <w:r>
        <w:rPr>
          <w:rFonts w:ascii="Arial" w:hAnsi="Arial" w:cs="Arial"/>
          <w:b/>
          <w:sz w:val="28"/>
        </w:rPr>
        <w:t>2</w:t>
      </w:r>
      <w:r w:rsidRPr="00117083">
        <w:rPr>
          <w:rFonts w:ascii="Arial" w:hAnsi="Arial" w:cs="Arial"/>
          <w:b/>
          <w:sz w:val="28"/>
        </w:rPr>
        <w:t xml:space="preserve">° B, </w:t>
      </w:r>
      <w:r>
        <w:rPr>
          <w:rFonts w:ascii="Arial" w:hAnsi="Arial" w:cs="Arial"/>
          <w:b/>
          <w:sz w:val="28"/>
        </w:rPr>
        <w:t>2</w:t>
      </w:r>
      <w:r w:rsidRPr="00117083">
        <w:rPr>
          <w:rFonts w:ascii="Arial" w:hAnsi="Arial" w:cs="Arial"/>
          <w:b/>
          <w:sz w:val="28"/>
        </w:rPr>
        <w:t xml:space="preserve">° C, </w:t>
      </w:r>
      <w:r>
        <w:rPr>
          <w:rFonts w:ascii="Arial" w:hAnsi="Arial" w:cs="Arial"/>
          <w:b/>
          <w:sz w:val="28"/>
        </w:rPr>
        <w:t>2</w:t>
      </w:r>
      <w:r w:rsidRPr="00117083">
        <w:rPr>
          <w:rFonts w:ascii="Arial" w:hAnsi="Arial" w:cs="Arial"/>
          <w:b/>
          <w:sz w:val="28"/>
        </w:rPr>
        <w:t>° D.</w:t>
      </w:r>
    </w:p>
    <w:p w:rsidR="0012385D" w:rsidRPr="00A1065F" w:rsidRDefault="00502B5E" w:rsidP="0012385D">
      <w:pPr>
        <w:rPr>
          <w:sz w:val="28"/>
          <w:szCs w:val="28"/>
          <w:lang w:val="es-AR"/>
        </w:rPr>
      </w:pPr>
      <w:r w:rsidRPr="009F3B84">
        <w:rPr>
          <w:sz w:val="28"/>
          <w:szCs w:val="28"/>
          <w:u w:val="single"/>
          <w:lang w:val="es-AR"/>
        </w:rPr>
        <w:t>Tema</w:t>
      </w:r>
      <w:r>
        <w:rPr>
          <w:sz w:val="28"/>
          <w:szCs w:val="28"/>
          <w:lang w:val="es-AR"/>
        </w:rPr>
        <w:t>: Hipervínculos</w:t>
      </w:r>
    </w:p>
    <w:p w:rsidR="00502B5E" w:rsidRPr="00502B5E" w:rsidRDefault="00502B5E" w:rsidP="0012385D">
      <w:pPr>
        <w:rPr>
          <w:b/>
          <w:sz w:val="28"/>
          <w:szCs w:val="28"/>
          <w:u w:val="single"/>
          <w:lang w:val="es-AR"/>
        </w:rPr>
      </w:pPr>
      <w:r w:rsidRPr="009F3B84">
        <w:rPr>
          <w:b/>
          <w:sz w:val="28"/>
          <w:szCs w:val="28"/>
          <w:u w:val="single"/>
          <w:lang w:val="es-AR"/>
        </w:rPr>
        <w:t>Consigna</w:t>
      </w:r>
    </w:p>
    <w:p w:rsidR="00502B5E" w:rsidRPr="0012385D" w:rsidRDefault="00502B5E" w:rsidP="00502B5E">
      <w:pPr>
        <w:jc w:val="both"/>
        <w:rPr>
          <w:sz w:val="28"/>
          <w:szCs w:val="28"/>
          <w:lang w:val="es-AR"/>
        </w:rPr>
      </w:pPr>
      <w:r>
        <w:rPr>
          <w:sz w:val="28"/>
          <w:szCs w:val="28"/>
          <w:lang w:val="es-AR"/>
        </w:rPr>
        <w:t>Resolver los ejercicios de las paginas siguientes.</w:t>
      </w:r>
    </w:p>
    <w:p w:rsidR="00502B5E" w:rsidRPr="00502B5E" w:rsidRDefault="00502B5E" w:rsidP="00502B5E">
      <w:pPr>
        <w:jc w:val="both"/>
        <w:rPr>
          <w:rFonts w:ascii="Arial" w:hAnsi="Arial" w:cs="Arial"/>
          <w:b/>
          <w:color w:val="0563C1" w:themeColor="hyperlink"/>
          <w:sz w:val="28"/>
          <w:u w:val="single"/>
        </w:rPr>
      </w:pPr>
      <w:r w:rsidRPr="00610D61">
        <w:rPr>
          <w:rFonts w:ascii="Arial" w:hAnsi="Arial" w:cs="Arial"/>
          <w:b/>
          <w:sz w:val="28"/>
          <w:u w:val="single"/>
        </w:rPr>
        <w:t>Correo para entrega de trabajos</w:t>
      </w:r>
      <w:r w:rsidRPr="00117083">
        <w:rPr>
          <w:rFonts w:ascii="Arial" w:hAnsi="Arial" w:cs="Arial"/>
          <w:b/>
          <w:sz w:val="28"/>
        </w:rPr>
        <w:t xml:space="preserve">: </w:t>
      </w:r>
      <w:hyperlink r:id="rId8" w:history="1">
        <w:r w:rsidRPr="00902D95">
          <w:rPr>
            <w:rStyle w:val="Hipervnculo"/>
            <w:rFonts w:ascii="Arial" w:hAnsi="Arial" w:cs="Arial"/>
            <w:b/>
            <w:sz w:val="28"/>
          </w:rPr>
          <w:t>informatica.2do.46@gmail.com</w:t>
        </w:r>
      </w:hyperlink>
    </w:p>
    <w:p w:rsidR="00442ECC" w:rsidRDefault="00442ECC" w:rsidP="00245B74">
      <w:pPr>
        <w:rPr>
          <w:rFonts w:ascii="Arial" w:hAnsi="Arial" w:cs="Arial"/>
          <w:b/>
          <w:sz w:val="28"/>
          <w:u w:val="single"/>
        </w:rPr>
      </w:pPr>
    </w:p>
    <w:p w:rsidR="00502B5E" w:rsidRDefault="00502B5E" w:rsidP="00245B74">
      <w:pPr>
        <w:rPr>
          <w:rFonts w:ascii="Arial" w:hAnsi="Arial" w:cs="Arial"/>
          <w:b/>
          <w:sz w:val="28"/>
        </w:rPr>
      </w:pPr>
      <w:r w:rsidRPr="00610D61">
        <w:rPr>
          <w:rFonts w:ascii="Arial" w:hAnsi="Arial" w:cs="Arial"/>
          <w:b/>
          <w:sz w:val="28"/>
          <w:u w:val="single"/>
        </w:rPr>
        <w:t>Fecha de entrega</w:t>
      </w:r>
      <w:r>
        <w:rPr>
          <w:rFonts w:ascii="Arial" w:hAnsi="Arial" w:cs="Arial"/>
          <w:b/>
          <w:sz w:val="28"/>
        </w:rPr>
        <w:t xml:space="preserve">: </w:t>
      </w:r>
      <w:proofErr w:type="gramStart"/>
      <w:r w:rsidR="00245B74">
        <w:rPr>
          <w:rFonts w:ascii="Arial" w:hAnsi="Arial" w:cs="Arial"/>
          <w:b/>
          <w:color w:val="FF0000"/>
          <w:sz w:val="28"/>
        </w:rPr>
        <w:t>Jueves</w:t>
      </w:r>
      <w:proofErr w:type="gramEnd"/>
      <w:r w:rsidR="00245B74">
        <w:rPr>
          <w:rFonts w:ascii="Arial" w:hAnsi="Arial" w:cs="Arial"/>
          <w:b/>
          <w:color w:val="FF0000"/>
          <w:sz w:val="28"/>
        </w:rPr>
        <w:t xml:space="preserve"> </w:t>
      </w:r>
      <w:r w:rsidR="00B05D05">
        <w:rPr>
          <w:rFonts w:ascii="Arial" w:hAnsi="Arial" w:cs="Arial"/>
          <w:b/>
          <w:color w:val="FF0000"/>
          <w:sz w:val="28"/>
        </w:rPr>
        <w:t>08</w:t>
      </w:r>
      <w:r w:rsidRPr="006C62B7">
        <w:rPr>
          <w:rFonts w:ascii="Arial" w:hAnsi="Arial" w:cs="Arial"/>
          <w:b/>
          <w:color w:val="FF0000"/>
          <w:sz w:val="28"/>
        </w:rPr>
        <w:t>-</w:t>
      </w:r>
      <w:r w:rsidR="00B05D05">
        <w:rPr>
          <w:rFonts w:ascii="Arial" w:hAnsi="Arial" w:cs="Arial"/>
          <w:b/>
          <w:color w:val="FF0000"/>
          <w:sz w:val="28"/>
        </w:rPr>
        <w:t>1</w:t>
      </w:r>
      <w:r w:rsidRPr="00991504">
        <w:rPr>
          <w:rFonts w:ascii="Arial" w:hAnsi="Arial" w:cs="Arial"/>
          <w:b/>
          <w:color w:val="FF0000"/>
          <w:sz w:val="28"/>
        </w:rPr>
        <w:t>0</w:t>
      </w:r>
      <w:r>
        <w:rPr>
          <w:rFonts w:ascii="Arial" w:hAnsi="Arial" w:cs="Arial"/>
          <w:b/>
          <w:sz w:val="28"/>
        </w:rPr>
        <w:t xml:space="preserve"> (</w:t>
      </w:r>
      <w:r>
        <w:rPr>
          <w:rFonts w:ascii="Arial" w:hAnsi="Arial" w:cs="Arial"/>
        </w:rPr>
        <w:t>si lo realizan antes, lo enví</w:t>
      </w:r>
      <w:r w:rsidRPr="00610D61">
        <w:rPr>
          <w:rFonts w:ascii="Arial" w:hAnsi="Arial" w:cs="Arial"/>
        </w:rPr>
        <w:t>an</w:t>
      </w:r>
      <w:r>
        <w:rPr>
          <w:rFonts w:ascii="Arial" w:hAnsi="Arial" w:cs="Arial"/>
          <w:b/>
          <w:sz w:val="28"/>
        </w:rPr>
        <w:t>)</w:t>
      </w:r>
    </w:p>
    <w:p w:rsidR="00502B5E" w:rsidRDefault="00502B5E" w:rsidP="00245B74">
      <w:pPr>
        <w:pStyle w:val="Textoindependiente"/>
        <w:spacing w:before="59"/>
        <w:ind w:right="99"/>
        <w:rPr>
          <w:rFonts w:ascii="Arial" w:hAnsi="Arial" w:cs="Arial"/>
          <w:b/>
          <w:sz w:val="28"/>
          <w:u w:val="single"/>
        </w:rPr>
      </w:pPr>
    </w:p>
    <w:p w:rsidR="00502B5E" w:rsidRDefault="00502B5E" w:rsidP="00245B74">
      <w:pPr>
        <w:jc w:val="both"/>
        <w:rPr>
          <w:rFonts w:ascii="Arial" w:hAnsi="Arial" w:cs="Arial"/>
          <w:sz w:val="28"/>
        </w:rPr>
      </w:pPr>
      <w:r>
        <w:t xml:space="preserve">Proponemos realizar una reunión de 2° año (A, B, C y D) mediante la plataforma ZOOM el día </w:t>
      </w:r>
      <w:proofErr w:type="gramStart"/>
      <w:r w:rsidR="00245B74">
        <w:rPr>
          <w:rFonts w:ascii="Arial" w:hAnsi="Arial" w:cs="Arial"/>
          <w:sz w:val="28"/>
        </w:rPr>
        <w:t>Lunes</w:t>
      </w:r>
      <w:proofErr w:type="gramEnd"/>
      <w:r w:rsidR="00245B74">
        <w:rPr>
          <w:rFonts w:ascii="Arial" w:hAnsi="Arial" w:cs="Arial"/>
          <w:sz w:val="28"/>
        </w:rPr>
        <w:t xml:space="preserve"> </w:t>
      </w:r>
      <w:r w:rsidR="00B05D05">
        <w:rPr>
          <w:rFonts w:ascii="Arial" w:hAnsi="Arial" w:cs="Arial"/>
          <w:sz w:val="28"/>
        </w:rPr>
        <w:t>05</w:t>
      </w:r>
      <w:r>
        <w:rPr>
          <w:rFonts w:ascii="Arial" w:hAnsi="Arial" w:cs="Arial"/>
          <w:sz w:val="28"/>
        </w:rPr>
        <w:t>-</w:t>
      </w:r>
      <w:r w:rsidR="00B05D05">
        <w:rPr>
          <w:rFonts w:ascii="Arial" w:hAnsi="Arial" w:cs="Arial"/>
          <w:sz w:val="28"/>
        </w:rPr>
        <w:t>10</w:t>
      </w:r>
      <w:r>
        <w:rPr>
          <w:rFonts w:ascii="Arial" w:hAnsi="Arial" w:cs="Arial"/>
          <w:sz w:val="28"/>
        </w:rPr>
        <w:t xml:space="preserve"> </w:t>
      </w:r>
      <w:r>
        <w:t xml:space="preserve">a las </w:t>
      </w:r>
      <w:r>
        <w:rPr>
          <w:rFonts w:ascii="Arial" w:hAnsi="Arial" w:cs="Arial"/>
          <w:sz w:val="28"/>
        </w:rPr>
        <w:t xml:space="preserve">13:30 </w:t>
      </w:r>
      <w:proofErr w:type="spellStart"/>
      <w:r>
        <w:rPr>
          <w:rFonts w:ascii="Arial" w:hAnsi="Arial" w:cs="Arial"/>
          <w:sz w:val="28"/>
        </w:rPr>
        <w:t>hs</w:t>
      </w:r>
      <w:proofErr w:type="spellEnd"/>
      <w:r>
        <w:rPr>
          <w:rFonts w:ascii="Arial" w:hAnsi="Arial" w:cs="Arial"/>
          <w:sz w:val="28"/>
        </w:rPr>
        <w:t>.</w:t>
      </w:r>
    </w:p>
    <w:p w:rsidR="00502B5E" w:rsidRDefault="00452BEC" w:rsidP="00245B74">
      <w:pPr>
        <w:pStyle w:val="Textoindependiente"/>
        <w:spacing w:before="59"/>
        <w:ind w:right="99"/>
        <w:rPr>
          <w:rStyle w:val="Hipervnculo"/>
          <w:rFonts w:ascii="Roboto" w:hAnsi="Roboto"/>
          <w:b/>
          <w:color w:val="1A73E8"/>
          <w:spacing w:val="3"/>
          <w:sz w:val="28"/>
          <w:szCs w:val="28"/>
          <w:shd w:val="clear" w:color="auto" w:fill="FFFFFF"/>
        </w:rPr>
      </w:pPr>
      <w:hyperlink r:id="rId9" w:tgtFrame="_blank" w:history="1">
        <w:r w:rsidR="00502B5E" w:rsidRPr="007B6673">
          <w:rPr>
            <w:rStyle w:val="Hipervnculo"/>
            <w:rFonts w:ascii="Roboto" w:hAnsi="Roboto"/>
            <w:b/>
            <w:color w:val="1A73E8"/>
            <w:spacing w:val="3"/>
            <w:sz w:val="28"/>
            <w:szCs w:val="28"/>
            <w:shd w:val="clear" w:color="auto" w:fill="FFFFFF"/>
          </w:rPr>
          <w:t>https://us04web.zoom.us/j/7320823662?pwd=WmVKVzVEZnFMMWJRR2RHOFpxMGI4dz09</w:t>
        </w:r>
      </w:hyperlink>
    </w:p>
    <w:p w:rsidR="00502B5E" w:rsidRDefault="00502B5E" w:rsidP="00245B74">
      <w:pPr>
        <w:pStyle w:val="Textoindependiente"/>
        <w:spacing w:before="59"/>
        <w:ind w:right="99"/>
      </w:pPr>
      <w:r w:rsidRPr="00502B5E">
        <w:rPr>
          <w:rFonts w:ascii="Roboto" w:hAnsi="Roboto"/>
          <w:b/>
          <w:color w:val="3C4043"/>
          <w:spacing w:val="3"/>
          <w:sz w:val="21"/>
          <w:szCs w:val="21"/>
          <w:shd w:val="clear" w:color="auto" w:fill="FFFFFF"/>
        </w:rPr>
        <w:t>ID de reunión</w:t>
      </w:r>
      <w:r w:rsidRPr="00502B5E">
        <w:rPr>
          <w:rFonts w:ascii="Roboto" w:hAnsi="Roboto"/>
          <w:color w:val="3C4043"/>
          <w:spacing w:val="3"/>
          <w:sz w:val="21"/>
          <w:szCs w:val="21"/>
          <w:shd w:val="clear" w:color="auto" w:fill="FFFFFF"/>
        </w:rPr>
        <w:t>: 732 082 3662</w:t>
      </w:r>
      <w:r>
        <w:rPr>
          <w:rFonts w:ascii="Roboto" w:hAnsi="Roboto"/>
          <w:color w:val="3C4043"/>
          <w:spacing w:val="3"/>
          <w:sz w:val="21"/>
          <w:szCs w:val="21"/>
        </w:rPr>
        <w:br/>
      </w:r>
      <w:r>
        <w:t>Clave: 1234</w:t>
      </w:r>
    </w:p>
    <w:p w:rsidR="00502B5E" w:rsidRDefault="00502B5E" w:rsidP="00502B5E">
      <w:pPr>
        <w:jc w:val="both"/>
      </w:pPr>
    </w:p>
    <w:p w:rsidR="00502B5E" w:rsidRPr="00E534F6" w:rsidRDefault="00502B5E" w:rsidP="00502B5E">
      <w:pPr>
        <w:jc w:val="both"/>
      </w:pPr>
      <w:r>
        <w:t>Participaremos los profesores Cárdenas Jonathan de 2B y Oberholzer Rolf de 2A, 2C Y 2D. El objetivo es resolver las dudas respecto al desarrollo de cada trabajo práctico y ayudarnos a perfeccionar nuestra elaboración de los próximos videos.</w:t>
      </w:r>
    </w:p>
    <w:p w:rsidR="00502AF7" w:rsidRDefault="00502AF7">
      <w:pPr>
        <w:rPr>
          <w:lang w:val="es-AR"/>
        </w:rPr>
      </w:pPr>
    </w:p>
    <w:p w:rsidR="00B05D05" w:rsidRDefault="00B05D05" w:rsidP="00B05D05">
      <w:pPr>
        <w:rPr>
          <w:rFonts w:ascii="Arial" w:hAnsi="Arial" w:cs="Arial"/>
          <w:sz w:val="28"/>
        </w:rPr>
      </w:pPr>
      <w:r w:rsidRPr="00160FB3">
        <w:rPr>
          <w:rFonts w:ascii="Arial" w:hAnsi="Arial" w:cs="Arial"/>
          <w:b/>
          <w:sz w:val="28"/>
          <w:u w:val="single"/>
        </w:rPr>
        <w:t>Formato sugerido</w:t>
      </w:r>
      <w:proofErr w:type="gramStart"/>
      <w:r w:rsidRPr="00160FB3">
        <w:rPr>
          <w:rFonts w:ascii="Arial" w:hAnsi="Arial" w:cs="Arial"/>
          <w:sz w:val="28"/>
        </w:rPr>
        <w:t>:</w:t>
      </w:r>
      <w:r w:rsidRPr="00160FB3">
        <w:rPr>
          <w:noProof/>
        </w:rPr>
        <w:t xml:space="preserve">  </w:t>
      </w:r>
      <w:r>
        <w:rPr>
          <w:rFonts w:ascii="Arial" w:hAnsi="Arial" w:cs="Arial"/>
          <w:sz w:val="28"/>
        </w:rPr>
        <w:t>(</w:t>
      </w:r>
      <w:proofErr w:type="gramEnd"/>
      <w:r>
        <w:rPr>
          <w:rFonts w:ascii="Arial" w:hAnsi="Arial" w:cs="Arial"/>
          <w:sz w:val="28"/>
        </w:rPr>
        <w:t>Así</w:t>
      </w:r>
      <w:r w:rsidRPr="00160FB3">
        <w:rPr>
          <w:rFonts w:ascii="Arial" w:hAnsi="Arial" w:cs="Arial"/>
          <w:sz w:val="28"/>
        </w:rPr>
        <w:t xml:space="preserve"> debe quedar en el documento nuevo</w:t>
      </w:r>
      <w:r w:rsidR="005A158D">
        <w:rPr>
          <w:rFonts w:ascii="Arial" w:hAnsi="Arial" w:cs="Arial"/>
          <w:sz w:val="28"/>
        </w:rPr>
        <w:t xml:space="preserve"> – son 6 hojas como se muestra en las imágenes de las páginas 2 y 3</w:t>
      </w:r>
      <w:r w:rsidRPr="00160FB3">
        <w:rPr>
          <w:rFonts w:ascii="Arial" w:hAnsi="Arial" w:cs="Arial"/>
          <w:sz w:val="28"/>
        </w:rPr>
        <w:t>)</w:t>
      </w:r>
    </w:p>
    <w:p w:rsidR="00B05D05" w:rsidRPr="00522FE0" w:rsidRDefault="00B05D05" w:rsidP="00522FE0">
      <w:pPr>
        <w:pStyle w:val="Prrafodelista"/>
        <w:numPr>
          <w:ilvl w:val="0"/>
          <w:numId w:val="5"/>
        </w:numPr>
        <w:rPr>
          <w:noProof/>
          <w:sz w:val="24"/>
          <w:szCs w:val="24"/>
        </w:rPr>
      </w:pPr>
      <w:r w:rsidRPr="00522FE0">
        <w:rPr>
          <w:noProof/>
          <w:sz w:val="24"/>
          <w:szCs w:val="24"/>
          <w:u w:val="single"/>
        </w:rPr>
        <w:t>Letra:</w:t>
      </w:r>
      <w:r w:rsidRPr="00522FE0">
        <w:rPr>
          <w:noProof/>
          <w:sz w:val="24"/>
          <w:szCs w:val="24"/>
        </w:rPr>
        <w:t xml:space="preserve"> Arial 10</w:t>
      </w:r>
    </w:p>
    <w:p w:rsidR="00B05D05" w:rsidRPr="00522FE0" w:rsidRDefault="00B05D05" w:rsidP="00522FE0">
      <w:pPr>
        <w:pStyle w:val="Prrafodelista"/>
        <w:numPr>
          <w:ilvl w:val="0"/>
          <w:numId w:val="5"/>
        </w:numPr>
        <w:rPr>
          <w:noProof/>
          <w:sz w:val="24"/>
          <w:szCs w:val="24"/>
        </w:rPr>
      </w:pPr>
      <w:r w:rsidRPr="00522FE0">
        <w:rPr>
          <w:noProof/>
          <w:sz w:val="24"/>
          <w:szCs w:val="24"/>
          <w:u w:val="single"/>
        </w:rPr>
        <w:t>Margenes</w:t>
      </w:r>
      <w:r w:rsidRPr="00522FE0">
        <w:rPr>
          <w:noProof/>
          <w:sz w:val="24"/>
          <w:szCs w:val="24"/>
        </w:rPr>
        <w:t>: Superior, inferior e izquierdo: 2   –   Derecho: 1,5</w:t>
      </w:r>
    </w:p>
    <w:p w:rsidR="00B05D05" w:rsidRPr="00522FE0" w:rsidRDefault="00522FE0" w:rsidP="00522FE0">
      <w:pPr>
        <w:pStyle w:val="Prrafodelista"/>
        <w:numPr>
          <w:ilvl w:val="0"/>
          <w:numId w:val="5"/>
        </w:numPr>
        <w:rPr>
          <w:noProof/>
          <w:sz w:val="24"/>
          <w:szCs w:val="24"/>
        </w:rPr>
      </w:pPr>
      <w:r w:rsidRPr="00522FE0">
        <w:rPr>
          <w:noProof/>
          <w:lang w:val="es-AR" w:eastAsia="es-AR"/>
        </w:rPr>
        <w:drawing>
          <wp:anchor distT="0" distB="0" distL="114300" distR="114300" simplePos="0" relativeHeight="251658240" behindDoc="1" locked="0" layoutInCell="1" allowOverlap="1">
            <wp:simplePos x="0" y="0"/>
            <wp:positionH relativeFrom="column">
              <wp:posOffset>4539615</wp:posOffset>
            </wp:positionH>
            <wp:positionV relativeFrom="paragraph">
              <wp:posOffset>10795</wp:posOffset>
            </wp:positionV>
            <wp:extent cx="257175" cy="260350"/>
            <wp:effectExtent l="0" t="0" r="9525" b="6350"/>
            <wp:wrapTight wrapText="bothSides">
              <wp:wrapPolygon edited="0">
                <wp:start x="0" y="0"/>
                <wp:lineTo x="0" y="20546"/>
                <wp:lineTo x="20800" y="20546"/>
                <wp:lineTo x="2080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CB5" w:rsidRPr="00522FE0">
        <w:rPr>
          <w:b/>
          <w:noProof/>
          <w:sz w:val="24"/>
          <w:szCs w:val="24"/>
        </w:rPr>
        <w:t>JUSTIFICAR</w:t>
      </w:r>
      <w:r w:rsidR="004D2CB5" w:rsidRPr="00522FE0">
        <w:rPr>
          <w:noProof/>
          <w:sz w:val="24"/>
          <w:szCs w:val="24"/>
        </w:rPr>
        <w:t xml:space="preserve"> todo el documento (que quede alineado el margen derecho) </w:t>
      </w:r>
    </w:p>
    <w:p w:rsidR="00B05D05" w:rsidRPr="00522FE0" w:rsidRDefault="00522FE0" w:rsidP="00522FE0">
      <w:pPr>
        <w:pStyle w:val="Prrafodelista"/>
        <w:numPr>
          <w:ilvl w:val="0"/>
          <w:numId w:val="5"/>
        </w:numPr>
        <w:rPr>
          <w:noProof/>
          <w:sz w:val="24"/>
          <w:szCs w:val="24"/>
        </w:rPr>
      </w:pPr>
      <w:r w:rsidRPr="00522FE0">
        <w:rPr>
          <w:noProof/>
          <w:sz w:val="24"/>
          <w:szCs w:val="24"/>
        </w:rPr>
        <w:t>Sangría de 1 cm.</w:t>
      </w:r>
    </w:p>
    <w:p w:rsidR="00522FE0" w:rsidRPr="00522FE0" w:rsidRDefault="00522FE0" w:rsidP="00522FE0">
      <w:pPr>
        <w:pStyle w:val="Prrafodelista"/>
        <w:numPr>
          <w:ilvl w:val="0"/>
          <w:numId w:val="5"/>
        </w:numPr>
        <w:rPr>
          <w:noProof/>
          <w:sz w:val="24"/>
          <w:szCs w:val="24"/>
        </w:rPr>
      </w:pPr>
      <w:r w:rsidRPr="00522FE0">
        <w:rPr>
          <w:noProof/>
          <w:sz w:val="24"/>
          <w:szCs w:val="24"/>
        </w:rPr>
        <w:t>Aplicar las columnas como se muestra en la imagen.</w:t>
      </w:r>
    </w:p>
    <w:p w:rsidR="00522FE0" w:rsidRPr="00522FE0" w:rsidRDefault="00522FE0" w:rsidP="00522FE0">
      <w:pPr>
        <w:pStyle w:val="Prrafodelista"/>
        <w:numPr>
          <w:ilvl w:val="0"/>
          <w:numId w:val="5"/>
        </w:numPr>
        <w:rPr>
          <w:noProof/>
          <w:sz w:val="24"/>
          <w:szCs w:val="24"/>
        </w:rPr>
      </w:pPr>
      <w:r w:rsidRPr="00522FE0">
        <w:rPr>
          <w:noProof/>
          <w:sz w:val="24"/>
          <w:szCs w:val="24"/>
        </w:rPr>
        <w:t>Realizar los Hipervínculos y marcadores de los títulos y subtítulos en verde.</w:t>
      </w:r>
    </w:p>
    <w:p w:rsidR="00522FE0" w:rsidRPr="00522FE0" w:rsidRDefault="00522FE0" w:rsidP="00B05D05">
      <w:pPr>
        <w:rPr>
          <w:b/>
          <w:noProof/>
          <w:sz w:val="28"/>
          <w:szCs w:val="28"/>
          <w:u w:val="single"/>
        </w:rPr>
      </w:pPr>
      <w:r w:rsidRPr="00522FE0">
        <w:rPr>
          <w:b/>
          <w:noProof/>
          <w:sz w:val="28"/>
          <w:szCs w:val="28"/>
          <w:u w:val="single"/>
        </w:rPr>
        <w:t>Atencion!!!</w:t>
      </w:r>
    </w:p>
    <w:p w:rsidR="00522FE0" w:rsidRPr="004D2CB5" w:rsidRDefault="00522FE0" w:rsidP="00B05D05">
      <w:pPr>
        <w:rPr>
          <w:noProof/>
        </w:rPr>
      </w:pPr>
      <w:r w:rsidRPr="00522FE0">
        <w:rPr>
          <w:b/>
          <w:noProof/>
          <w:color w:val="FF0000"/>
          <w:sz w:val="28"/>
          <w:szCs w:val="28"/>
          <w:u w:val="single"/>
        </w:rPr>
        <w:t>Copiar</w:t>
      </w:r>
      <w:r>
        <w:rPr>
          <w:noProof/>
        </w:rPr>
        <w:t xml:space="preserve"> el text</w:t>
      </w:r>
      <w:r w:rsidR="00F57E36">
        <w:rPr>
          <w:noProof/>
        </w:rPr>
        <w:t>o base que se encuentra</w:t>
      </w:r>
      <w:r>
        <w:rPr>
          <w:noProof/>
        </w:rPr>
        <w:t xml:space="preserve"> de la </w:t>
      </w:r>
      <w:r w:rsidRPr="00F57E36">
        <w:rPr>
          <w:b/>
          <w:i/>
          <w:noProof/>
          <w:u w:val="single"/>
        </w:rPr>
        <w:t>página 4</w:t>
      </w:r>
      <w:r w:rsidR="00F57E36" w:rsidRPr="00F57E36">
        <w:rPr>
          <w:b/>
          <w:i/>
          <w:noProof/>
          <w:u w:val="single"/>
        </w:rPr>
        <w:t xml:space="preserve"> a la 8</w:t>
      </w:r>
      <w:r w:rsidR="00F57E36">
        <w:rPr>
          <w:noProof/>
        </w:rPr>
        <w:t xml:space="preserve"> </w:t>
      </w:r>
      <w:r>
        <w:rPr>
          <w:noProof/>
        </w:rPr>
        <w:t xml:space="preserve">en un documento en blanco y realizar el práctico. </w:t>
      </w:r>
      <w:r w:rsidR="00F57E36">
        <w:rPr>
          <w:noProof/>
        </w:rPr>
        <w:t xml:space="preserve">** </w:t>
      </w:r>
      <w:r w:rsidRPr="00ED6E17">
        <w:rPr>
          <w:b/>
          <w:i/>
          <w:noProof/>
        </w:rPr>
        <w:t>No será correg</w:t>
      </w:r>
      <w:r w:rsidR="00ED6E17">
        <w:rPr>
          <w:b/>
          <w:i/>
          <w:noProof/>
        </w:rPr>
        <w:t>ido si se envia junto con é</w:t>
      </w:r>
      <w:r w:rsidRPr="00ED6E17">
        <w:rPr>
          <w:b/>
          <w:i/>
          <w:noProof/>
        </w:rPr>
        <w:t>ste instructicvo</w:t>
      </w:r>
      <w:r>
        <w:rPr>
          <w:noProof/>
        </w:rPr>
        <w:t>.</w:t>
      </w:r>
      <w:r w:rsidR="00F57E36">
        <w:rPr>
          <w:noProof/>
        </w:rPr>
        <w:t xml:space="preserve"> **</w:t>
      </w:r>
      <w:bookmarkStart w:id="0" w:name="_GoBack"/>
      <w:bookmarkEnd w:id="0"/>
    </w:p>
    <w:p w:rsidR="00522FE0" w:rsidRDefault="00522FE0" w:rsidP="004D2CB5">
      <w:pPr>
        <w:rPr>
          <w:noProof/>
        </w:rPr>
      </w:pPr>
      <w:r>
        <w:rPr>
          <w:noProof/>
        </w:rPr>
        <w:br w:type="page"/>
      </w:r>
    </w:p>
    <w:p w:rsidR="00A322C6" w:rsidRDefault="005A158D" w:rsidP="004D2CB5">
      <w:pPr>
        <w:rPr>
          <w:noProof/>
        </w:rPr>
      </w:pPr>
      <w:r>
        <w:rPr>
          <w:noProof/>
          <w:lang w:val="es-AR" w:eastAsia="es-AR"/>
        </w:rPr>
        <w:lastRenderedPageBreak/>
        <w:drawing>
          <wp:inline distT="0" distB="0" distL="0" distR="0">
            <wp:extent cx="5400675" cy="33337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333750"/>
                    </a:xfrm>
                    <a:prstGeom prst="rect">
                      <a:avLst/>
                    </a:prstGeom>
                    <a:noFill/>
                    <a:ln>
                      <a:noFill/>
                    </a:ln>
                  </pic:spPr>
                </pic:pic>
              </a:graphicData>
            </a:graphic>
          </wp:inline>
        </w:drawing>
      </w:r>
    </w:p>
    <w:p w:rsidR="005A158D" w:rsidRDefault="005A158D" w:rsidP="004D2CB5">
      <w:pPr>
        <w:rPr>
          <w:noProof/>
        </w:rPr>
      </w:pPr>
      <w:r>
        <w:rPr>
          <w:noProof/>
          <w:lang w:val="es-AR" w:eastAsia="es-AR"/>
        </w:rPr>
        <w:drawing>
          <wp:inline distT="0" distB="0" distL="0" distR="0">
            <wp:extent cx="5400675" cy="3333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333750"/>
                    </a:xfrm>
                    <a:prstGeom prst="rect">
                      <a:avLst/>
                    </a:prstGeom>
                    <a:noFill/>
                    <a:ln>
                      <a:noFill/>
                    </a:ln>
                  </pic:spPr>
                </pic:pic>
              </a:graphicData>
            </a:graphic>
          </wp:inline>
        </w:drawing>
      </w:r>
    </w:p>
    <w:p w:rsidR="00522FE0" w:rsidRDefault="005A158D" w:rsidP="004D2CB5">
      <w:pPr>
        <w:rPr>
          <w:noProof/>
        </w:rPr>
      </w:pPr>
      <w:r>
        <w:rPr>
          <w:noProof/>
          <w:lang w:val="es-AR" w:eastAsia="es-AR"/>
        </w:rPr>
        <w:lastRenderedPageBreak/>
        <w:drawing>
          <wp:inline distT="0" distB="0" distL="0" distR="0">
            <wp:extent cx="5400675" cy="33337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333750"/>
                    </a:xfrm>
                    <a:prstGeom prst="rect">
                      <a:avLst/>
                    </a:prstGeom>
                    <a:noFill/>
                    <a:ln>
                      <a:noFill/>
                    </a:ln>
                  </pic:spPr>
                </pic:pic>
              </a:graphicData>
            </a:graphic>
          </wp:inline>
        </w:drawing>
      </w:r>
    </w:p>
    <w:p w:rsidR="00ED6E17" w:rsidRDefault="00ED6E17">
      <w:pPr>
        <w:rPr>
          <w:noProof/>
        </w:rPr>
      </w:pPr>
      <w:r>
        <w:rPr>
          <w:noProof/>
        </w:rPr>
        <w:br w:type="page"/>
      </w:r>
    </w:p>
    <w:p w:rsidR="00ED6E17" w:rsidRPr="002D46BF" w:rsidRDefault="00ED6E17" w:rsidP="00ED6E17">
      <w:pPr>
        <w:rPr>
          <w:sz w:val="36"/>
          <w:u w:val="single"/>
        </w:rPr>
      </w:pPr>
      <w:r w:rsidRPr="002D46BF">
        <w:rPr>
          <w:sz w:val="36"/>
          <w:u w:val="single"/>
        </w:rPr>
        <w:lastRenderedPageBreak/>
        <w:t xml:space="preserve">DIAGNÓSTICO </w:t>
      </w:r>
      <w:proofErr w:type="gramStart"/>
      <w:r w:rsidRPr="002D46BF">
        <w:rPr>
          <w:sz w:val="36"/>
          <w:u w:val="single"/>
        </w:rPr>
        <w:t>SEROLÓGICO  DE</w:t>
      </w:r>
      <w:proofErr w:type="gramEnd"/>
      <w:r w:rsidRPr="002D46BF">
        <w:rPr>
          <w:sz w:val="36"/>
          <w:u w:val="single"/>
        </w:rPr>
        <w:t xml:space="preserve"> LA HEPATITIS C</w:t>
      </w:r>
    </w:p>
    <w:p w:rsidR="00ED6E17" w:rsidRDefault="00ED6E17" w:rsidP="00ED6E17">
      <w:pPr>
        <w:rPr>
          <w:lang w:val="es-ES_tradnl"/>
        </w:rPr>
      </w:pPr>
    </w:p>
    <w:p w:rsidR="00ED6E17" w:rsidRPr="00CC5025" w:rsidRDefault="00ED6E17" w:rsidP="00ED6E17">
      <w:pPr>
        <w:rPr>
          <w:lang w:val="es-ES_tradnl"/>
        </w:rPr>
      </w:pPr>
    </w:p>
    <w:p w:rsidR="00ED6E17" w:rsidRDefault="00ED6E17" w:rsidP="00ED6E17">
      <w:pPr>
        <w:rPr>
          <w:sz w:val="36"/>
        </w:rPr>
      </w:pPr>
      <w:r>
        <w:rPr>
          <w:sz w:val="36"/>
        </w:rPr>
        <w:t>INDICE</w:t>
      </w:r>
    </w:p>
    <w:p w:rsidR="00ED6E17" w:rsidRPr="00CC5025" w:rsidRDefault="00ED6E17" w:rsidP="00ED6E17">
      <w:pPr>
        <w:rPr>
          <w:lang w:val="es-ES_tradnl"/>
        </w:rPr>
      </w:pPr>
    </w:p>
    <w:p w:rsidR="00ED6E17" w:rsidRDefault="00ED6E17" w:rsidP="00ED6E17">
      <w:pPr>
        <w:pStyle w:val="Prrafodelista"/>
        <w:widowControl w:val="0"/>
        <w:numPr>
          <w:ilvl w:val="0"/>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u w:val="none"/>
        </w:rPr>
        <w:t>TAXONOMÍA</w:t>
      </w:r>
    </w:p>
    <w:p w:rsidR="00ED6E17" w:rsidRPr="005C1D06" w:rsidRDefault="00ED6E17" w:rsidP="00ED6E17">
      <w:pPr>
        <w:pStyle w:val="Prrafodelista"/>
        <w:rPr>
          <w:rStyle w:val="Hypertext"/>
          <w:rFonts w:ascii="Arial" w:hAnsi="Arial" w:cs="Arial"/>
          <w:sz w:val="32"/>
          <w:szCs w:val="32"/>
          <w:u w:val="none"/>
        </w:rPr>
      </w:pPr>
    </w:p>
    <w:p w:rsidR="00ED6E17" w:rsidRPr="005C1D06" w:rsidRDefault="00ED6E17" w:rsidP="00ED6E17">
      <w:pPr>
        <w:pStyle w:val="Prrafodelista"/>
        <w:widowControl w:val="0"/>
        <w:numPr>
          <w:ilvl w:val="0"/>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lang w:val="es-ES_tradnl"/>
        </w:rPr>
        <w:t>DIVERSIDAD GENETICA</w:t>
      </w:r>
    </w:p>
    <w:p w:rsidR="00ED6E17" w:rsidRPr="005C1D06" w:rsidRDefault="00ED6E17" w:rsidP="00ED6E17">
      <w:pPr>
        <w:pStyle w:val="Prrafodelista"/>
        <w:rPr>
          <w:rStyle w:val="Hypertext"/>
          <w:rFonts w:ascii="Arial" w:hAnsi="Arial" w:cs="Arial"/>
          <w:sz w:val="32"/>
          <w:szCs w:val="32"/>
        </w:rPr>
      </w:pPr>
    </w:p>
    <w:p w:rsidR="00ED6E17" w:rsidRPr="005C1D06" w:rsidRDefault="00ED6E17" w:rsidP="00ED6E17">
      <w:pPr>
        <w:pStyle w:val="Prrafodelista"/>
        <w:widowControl w:val="0"/>
        <w:numPr>
          <w:ilvl w:val="0"/>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lang w:val="es-ES_tradnl"/>
        </w:rPr>
        <w:t>ASPECTOS CLINICOS DE LA HEPATITIS C</w:t>
      </w:r>
    </w:p>
    <w:p w:rsidR="00ED6E17" w:rsidRPr="005C1D06" w:rsidRDefault="00ED6E17" w:rsidP="00ED6E17">
      <w:pPr>
        <w:pStyle w:val="Prrafodelista"/>
        <w:widowControl w:val="0"/>
        <w:numPr>
          <w:ilvl w:val="1"/>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lang w:val="es-ES_tradnl"/>
        </w:rPr>
        <w:t>INFECCIÓN AGUDA</w:t>
      </w:r>
    </w:p>
    <w:p w:rsidR="00ED6E17" w:rsidRPr="005C1D06" w:rsidRDefault="00ED6E17" w:rsidP="00ED6E17">
      <w:pPr>
        <w:pStyle w:val="Prrafodelista"/>
        <w:widowControl w:val="0"/>
        <w:numPr>
          <w:ilvl w:val="1"/>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lang w:val="es-ES_tradnl"/>
        </w:rPr>
        <w:t>INFECCIÓN CRÓNICA</w:t>
      </w:r>
    </w:p>
    <w:p w:rsidR="00ED6E17" w:rsidRPr="005C1D06" w:rsidRDefault="00ED6E17" w:rsidP="00ED6E17">
      <w:pPr>
        <w:pStyle w:val="Prrafodelista"/>
        <w:ind w:left="1440"/>
        <w:rPr>
          <w:rStyle w:val="Hypertext"/>
          <w:rFonts w:ascii="Arial" w:hAnsi="Arial" w:cs="Arial"/>
          <w:sz w:val="32"/>
          <w:szCs w:val="32"/>
        </w:rPr>
      </w:pPr>
    </w:p>
    <w:p w:rsidR="00ED6E17" w:rsidRPr="005C1D06" w:rsidRDefault="00ED6E17" w:rsidP="00ED6E17">
      <w:pPr>
        <w:pStyle w:val="Prrafodelista"/>
        <w:widowControl w:val="0"/>
        <w:numPr>
          <w:ilvl w:val="0"/>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lang w:val="es-ES_tradnl"/>
        </w:rPr>
        <w:t>DIAGNOSTICO DE LA INFECCIÓN POR VHC</w:t>
      </w:r>
    </w:p>
    <w:p w:rsidR="00ED6E17" w:rsidRPr="005C1D06" w:rsidRDefault="00ED6E17" w:rsidP="00ED6E17">
      <w:pPr>
        <w:pStyle w:val="Prrafodelista"/>
        <w:widowControl w:val="0"/>
        <w:numPr>
          <w:ilvl w:val="1"/>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lang w:val="es-ES_tradnl"/>
        </w:rPr>
        <w:t>CURACIÓN A PARTIR DE UNA FORMA AGUDA</w:t>
      </w:r>
    </w:p>
    <w:p w:rsidR="00ED6E17" w:rsidRDefault="00ED6E17" w:rsidP="00ED6E17">
      <w:pPr>
        <w:pStyle w:val="Prrafodelista"/>
        <w:widowControl w:val="0"/>
        <w:numPr>
          <w:ilvl w:val="1"/>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rPr>
        <w:t>CURACIÓN A PARTIR DE UNA FORMA CRÓNICA</w:t>
      </w:r>
    </w:p>
    <w:p w:rsidR="00ED6E17" w:rsidRPr="005C1D06" w:rsidRDefault="00ED6E17" w:rsidP="00ED6E17">
      <w:pPr>
        <w:pStyle w:val="Prrafodelista"/>
        <w:widowControl w:val="0"/>
        <w:numPr>
          <w:ilvl w:val="1"/>
          <w:numId w:val="6"/>
        </w:numPr>
        <w:autoSpaceDE w:val="0"/>
        <w:autoSpaceDN w:val="0"/>
        <w:adjustRightInd w:val="0"/>
        <w:spacing w:after="0" w:line="240" w:lineRule="auto"/>
        <w:rPr>
          <w:rStyle w:val="Hypertext"/>
          <w:rFonts w:ascii="Arial" w:hAnsi="Arial" w:cs="Arial"/>
          <w:sz w:val="32"/>
          <w:szCs w:val="32"/>
        </w:rPr>
      </w:pPr>
      <w:r w:rsidRPr="005C1D06">
        <w:rPr>
          <w:rStyle w:val="Hypertext"/>
          <w:rFonts w:ascii="Arial" w:hAnsi="Arial" w:cs="Arial"/>
          <w:sz w:val="32"/>
          <w:szCs w:val="32"/>
          <w:lang w:val="es-ES_tradnl"/>
        </w:rPr>
        <w:t>CRONICIDAD</w:t>
      </w:r>
    </w:p>
    <w:p w:rsidR="00ED6E17" w:rsidRPr="005C1D06" w:rsidRDefault="00ED6E17" w:rsidP="00ED6E17">
      <w:pPr>
        <w:pStyle w:val="Prrafodelista"/>
        <w:ind w:left="1440"/>
        <w:rPr>
          <w:rStyle w:val="Hypertext"/>
          <w:rFonts w:ascii="Arial" w:hAnsi="Arial" w:cs="Arial"/>
          <w:sz w:val="32"/>
          <w:szCs w:val="32"/>
        </w:rPr>
      </w:pPr>
    </w:p>
    <w:p w:rsidR="00ED6E17" w:rsidRPr="005C1D06" w:rsidRDefault="00ED6E17" w:rsidP="00ED6E17">
      <w:pPr>
        <w:pStyle w:val="Prrafodelista"/>
        <w:widowControl w:val="0"/>
        <w:numPr>
          <w:ilvl w:val="0"/>
          <w:numId w:val="6"/>
        </w:numPr>
        <w:autoSpaceDE w:val="0"/>
        <w:autoSpaceDN w:val="0"/>
        <w:adjustRightInd w:val="0"/>
        <w:spacing w:after="0" w:line="240" w:lineRule="auto"/>
        <w:rPr>
          <w:rStyle w:val="Hypertext"/>
          <w:rFonts w:ascii="Arial" w:hAnsi="Arial" w:cs="Arial"/>
          <w:sz w:val="32"/>
          <w:szCs w:val="32"/>
          <w:u w:val="none"/>
        </w:rPr>
      </w:pPr>
      <w:r w:rsidRPr="005C1D06">
        <w:rPr>
          <w:rStyle w:val="Hypertext"/>
          <w:rFonts w:ascii="Arial" w:hAnsi="Arial" w:cs="Arial"/>
          <w:sz w:val="32"/>
          <w:szCs w:val="32"/>
          <w:lang w:val="es-ES_tradnl"/>
        </w:rPr>
        <w:t>BIBLIOGRAFÍA RECOMENDADA</w:t>
      </w:r>
    </w:p>
    <w:p w:rsidR="00F57E36" w:rsidRDefault="00F57E36" w:rsidP="00ED6E17">
      <w:pPr>
        <w:rPr>
          <w:bCs/>
          <w:lang w:val="es-ES_tradnl"/>
        </w:rPr>
      </w:pPr>
    </w:p>
    <w:p w:rsidR="00ED6E17" w:rsidRPr="00CC5025" w:rsidRDefault="00ED6E17" w:rsidP="00ED6E17">
      <w:pPr>
        <w:rPr>
          <w:bCs/>
          <w:lang w:val="es-ES_tradnl"/>
        </w:rPr>
      </w:pPr>
      <w:r w:rsidRPr="00CC5025">
        <w:rPr>
          <w:bCs/>
          <w:lang w:val="es-ES_tradnl"/>
        </w:rPr>
        <w:t xml:space="preserve">En 1989 apareció el primer trabajo sobre un nuevo agente viral denominado Virus de la Hepatitis C (VHC). Del estudio comparado con otros genomas virales conocidos se dedujo su relación con la familia de los </w:t>
      </w:r>
      <w:proofErr w:type="spellStart"/>
      <w:r w:rsidRPr="00CC5025">
        <w:rPr>
          <w:bCs/>
          <w:lang w:val="es-ES_tradnl"/>
        </w:rPr>
        <w:t>Flavivirus</w:t>
      </w:r>
      <w:proofErr w:type="spellEnd"/>
      <w:r w:rsidRPr="00CC5025">
        <w:rPr>
          <w:bCs/>
          <w:lang w:val="es-ES_tradnl"/>
        </w:rPr>
        <w:t xml:space="preserve">. La construcción de un test de diagnóstico para detectar anticuerpos frente a él ya ha clasificado la mayoría de las hepatitis </w:t>
      </w:r>
      <w:proofErr w:type="spellStart"/>
      <w:r w:rsidRPr="00CC5025">
        <w:rPr>
          <w:bCs/>
          <w:lang w:val="es-ES_tradnl"/>
        </w:rPr>
        <w:t>postransfusionales</w:t>
      </w:r>
      <w:proofErr w:type="spellEnd"/>
      <w:r w:rsidRPr="00CC5025">
        <w:rPr>
          <w:bCs/>
          <w:lang w:val="es-ES_tradnl"/>
        </w:rPr>
        <w:t xml:space="preserve"> (NANB) y otras muchas como hepatitis por Virus C (HVC).</w:t>
      </w:r>
    </w:p>
    <w:p w:rsidR="00ED6E17" w:rsidRDefault="00ED6E17" w:rsidP="00ED6E17">
      <w:pPr>
        <w:rPr>
          <w:lang w:val="es-ES_tradnl"/>
        </w:rPr>
      </w:pPr>
      <w:r>
        <w:rPr>
          <w:rStyle w:val="Hypertext"/>
          <w:rFonts w:ascii="Arial" w:hAnsi="Arial" w:cs="Arial"/>
          <w:sz w:val="32"/>
        </w:rPr>
        <w:t>1.TAXONOMÍA</w:t>
      </w:r>
      <w:r>
        <w:rPr>
          <w:lang w:val="es-ES_tradnl"/>
        </w:rPr>
        <w:t xml:space="preserve"> </w:t>
      </w:r>
      <w:r w:rsidRPr="009A1D68">
        <w:rPr>
          <w:rStyle w:val="Hypertext"/>
          <w:rFonts w:ascii="Arial" w:hAnsi="Arial" w:cs="Arial"/>
          <w:i/>
          <w:iCs/>
          <w:lang w:val="es-ES_tradnl"/>
        </w:rPr>
        <w:t>(volver al índice)</w:t>
      </w:r>
    </w:p>
    <w:p w:rsidR="00ED6E17" w:rsidRDefault="00ED6E17" w:rsidP="00CC5025">
      <w:pPr>
        <w:rPr>
          <w:lang w:val="es-ES_tradnl"/>
        </w:rPr>
      </w:pPr>
      <w:proofErr w:type="gramStart"/>
      <w:r>
        <w:rPr>
          <w:lang w:val="es-ES_tradnl"/>
        </w:rPr>
        <w:t>Las consideraciones taxonómicas sobre el VHC se pensó</w:t>
      </w:r>
      <w:proofErr w:type="gramEnd"/>
      <w:r>
        <w:rPr>
          <w:lang w:val="es-ES_tradnl"/>
        </w:rPr>
        <w:t xml:space="preserve"> que fuesen </w:t>
      </w:r>
      <w:r>
        <w:rPr>
          <w:lang w:val="es-ES_tradnl"/>
        </w:rPr>
        <w:t xml:space="preserve">tiles no sólo para clasificar este nuevo agente dentro del reino viral sino </w:t>
      </w:r>
      <w:proofErr w:type="spellStart"/>
      <w:r>
        <w:rPr>
          <w:lang w:val="es-ES_tradnl"/>
        </w:rPr>
        <w:t>tambiÉn</w:t>
      </w:r>
      <w:proofErr w:type="spellEnd"/>
      <w:r>
        <w:rPr>
          <w:lang w:val="es-ES_tradnl"/>
        </w:rPr>
        <w:t xml:space="preserve"> para ayudar al entendimiento sobre su estructura genética, Mecanismos de replicación, transmisión y patogénesis. La cuestión no resultó tan sencilla. Cómo se dijo VHC está encuadrado dentro de los </w:t>
      </w:r>
      <w:proofErr w:type="spellStart"/>
      <w:r>
        <w:rPr>
          <w:lang w:val="es-ES_tradnl"/>
        </w:rPr>
        <w:t>Flavivirus</w:t>
      </w:r>
      <w:proofErr w:type="spellEnd"/>
      <w:r>
        <w:rPr>
          <w:lang w:val="es-ES_tradnl"/>
        </w:rPr>
        <w:t xml:space="preserve"> patógenos pertenecientes a un grupo de agentes llamados </w:t>
      </w:r>
      <w:proofErr w:type="spellStart"/>
      <w:r>
        <w:rPr>
          <w:lang w:val="es-ES_tradnl"/>
        </w:rPr>
        <w:t>Arbovirus</w:t>
      </w:r>
      <w:proofErr w:type="spellEnd"/>
      <w:r>
        <w:rPr>
          <w:lang w:val="es-ES_tradnl"/>
        </w:rPr>
        <w:t xml:space="preserve"> (Tabla 1). Este término, desafortunado en este momento, agrupa una variedad de virus muy </w:t>
      </w:r>
      <w:proofErr w:type="gramStart"/>
      <w:r>
        <w:rPr>
          <w:lang w:val="es-ES_tradnl"/>
        </w:rPr>
        <w:t>diferentes cuya característica común</w:t>
      </w:r>
      <w:proofErr w:type="gramEnd"/>
      <w:r>
        <w:rPr>
          <w:lang w:val="es-ES_tradnl"/>
        </w:rPr>
        <w:t xml:space="preserve"> es la de ser transmitidos mediante artrópodos pero que, paradójicamente, excluye a otros que genéticamente son muy similares y no son transmitidos por esta vía. Para el VHC no se conoce ningún artrópodo vector y sus infecciones producen </w:t>
      </w:r>
      <w:r>
        <w:rPr>
          <w:lang w:val="es-ES_tradnl"/>
        </w:rPr>
        <w:lastRenderedPageBreak/>
        <w:t xml:space="preserve">enfermedad crónica y en algunos casos, los menos, una enfermedad aguda </w:t>
      </w:r>
      <w:proofErr w:type="spellStart"/>
      <w:r>
        <w:rPr>
          <w:lang w:val="es-ES_tradnl"/>
        </w:rPr>
        <w:t>autolimitada</w:t>
      </w:r>
      <w:proofErr w:type="spellEnd"/>
      <w:r>
        <w:rPr>
          <w:lang w:val="es-ES_tradnl"/>
        </w:rPr>
        <w:t xml:space="preserve"> o inaparente seguida de eliminación del virus y curación.</w:t>
      </w:r>
    </w:p>
    <w:p w:rsidR="00ED6E17" w:rsidRDefault="00ED6E17" w:rsidP="00CC5025">
      <w:pPr>
        <w:rPr>
          <w:lang w:val="es-ES_tradnl"/>
        </w:rPr>
      </w:pPr>
      <w:r>
        <w:rPr>
          <w:lang w:val="es-ES_tradnl"/>
        </w:rPr>
        <w:t xml:space="preserve">El VHC no ha sido </w:t>
      </w:r>
      <w:proofErr w:type="gramStart"/>
      <w:r>
        <w:rPr>
          <w:lang w:val="es-ES_tradnl"/>
        </w:rPr>
        <w:t>visualizado</w:t>
      </w:r>
      <w:proofErr w:type="gramEnd"/>
      <w:r>
        <w:rPr>
          <w:lang w:val="es-ES_tradnl"/>
        </w:rPr>
        <w:t xml:space="preserve"> pero conocemos algo de su tamaño ya que atraviesa filtros con poros de 60 a 70 </w:t>
      </w:r>
      <w:proofErr w:type="spellStart"/>
      <w:r>
        <w:rPr>
          <w:lang w:val="es-ES_tradnl"/>
        </w:rPr>
        <w:t>nm</w:t>
      </w:r>
      <w:proofErr w:type="spellEnd"/>
      <w:r>
        <w:rPr>
          <w:lang w:val="es-ES_tradnl"/>
        </w:rPr>
        <w:t xml:space="preserve">. Tiene aproximadamente 60 </w:t>
      </w:r>
      <w:proofErr w:type="spellStart"/>
      <w:r>
        <w:rPr>
          <w:lang w:val="es-ES_tradnl"/>
        </w:rPr>
        <w:t>nm</w:t>
      </w:r>
      <w:proofErr w:type="spellEnd"/>
      <w:r>
        <w:rPr>
          <w:lang w:val="es-ES_tradnl"/>
        </w:rPr>
        <w:t xml:space="preserve"> de diámetro con una envoltura </w:t>
      </w:r>
      <w:proofErr w:type="spellStart"/>
      <w:r>
        <w:rPr>
          <w:lang w:val="es-ES_tradnl"/>
        </w:rPr>
        <w:t>lipoproteica</w:t>
      </w:r>
      <w:proofErr w:type="spellEnd"/>
      <w:r>
        <w:rPr>
          <w:lang w:val="es-ES_tradnl"/>
        </w:rPr>
        <w:t xml:space="preserve"> en la que encontramos </w:t>
      </w:r>
      <w:proofErr w:type="spellStart"/>
      <w:r>
        <w:rPr>
          <w:lang w:val="es-ES_tradnl"/>
        </w:rPr>
        <w:t>glicoproteinas</w:t>
      </w:r>
      <w:proofErr w:type="spellEnd"/>
      <w:r>
        <w:rPr>
          <w:lang w:val="es-ES_tradnl"/>
        </w:rPr>
        <w:t xml:space="preserve"> específicas insertas en ella. La </w:t>
      </w:r>
      <w:proofErr w:type="spellStart"/>
      <w:r>
        <w:rPr>
          <w:lang w:val="es-ES_tradnl"/>
        </w:rPr>
        <w:t>nucleocpside</w:t>
      </w:r>
      <w:proofErr w:type="spellEnd"/>
      <w:r>
        <w:rPr>
          <w:lang w:val="es-ES_tradnl"/>
        </w:rPr>
        <w:t xml:space="preserve"> es de simetría </w:t>
      </w:r>
      <w:proofErr w:type="spellStart"/>
      <w:r>
        <w:rPr>
          <w:lang w:val="es-ES_tradnl"/>
        </w:rPr>
        <w:t>icosaédrica</w:t>
      </w:r>
      <w:proofErr w:type="spellEnd"/>
      <w:r>
        <w:rPr>
          <w:lang w:val="es-ES_tradnl"/>
        </w:rPr>
        <w:t xml:space="preserve"> y encierra 9400 bases alineadas en una única molécula de ARN de polaridad positiva y que circula, según estudios fisicoquímicos, como </w:t>
      </w:r>
      <w:proofErr w:type="spellStart"/>
      <w:r>
        <w:rPr>
          <w:lang w:val="es-ES_tradnl"/>
        </w:rPr>
        <w:t>viriones</w:t>
      </w:r>
      <w:proofErr w:type="spellEnd"/>
      <w:r>
        <w:rPr>
          <w:lang w:val="es-ES_tradnl"/>
        </w:rPr>
        <w:t xml:space="preserve"> intactos y </w:t>
      </w:r>
      <w:proofErr w:type="spellStart"/>
      <w:r>
        <w:rPr>
          <w:lang w:val="es-ES_tradnl"/>
        </w:rPr>
        <w:t>nucleocpsides</w:t>
      </w:r>
      <w:proofErr w:type="spellEnd"/>
      <w:r>
        <w:rPr>
          <w:lang w:val="es-ES_tradnl"/>
        </w:rPr>
        <w:t xml:space="preserve">. Su extracción a partir de plasma infeccioso mediante disolventes lipídicos (cloroformo) inactiva el virus indicando que los lípidos son una parte esencial de su estructura presumiblemente de la envoltura. </w:t>
      </w:r>
    </w:p>
    <w:p w:rsidR="00ED6E17" w:rsidRDefault="00ED6E17" w:rsidP="00CC5025">
      <w:pPr>
        <w:rPr>
          <w:lang w:val="es-ES_tradnl"/>
        </w:rPr>
      </w:pPr>
      <w:proofErr w:type="gramStart"/>
      <w:r>
        <w:rPr>
          <w:lang w:val="es-ES_tradnl"/>
        </w:rPr>
        <w:t>Igualmente</w:t>
      </w:r>
      <w:proofErr w:type="gramEnd"/>
      <w:r>
        <w:rPr>
          <w:lang w:val="es-ES_tradnl"/>
        </w:rPr>
        <w:t xml:space="preserve"> el calor, formol y luz ultravioleta terminan con sus propiedades biológicas.</w:t>
      </w:r>
    </w:p>
    <w:p w:rsidR="00ED6E17" w:rsidRDefault="00ED6E17" w:rsidP="00CC5025">
      <w:pPr>
        <w:rPr>
          <w:lang w:val="es-ES_tradnl"/>
        </w:rPr>
      </w:pPr>
      <w:r>
        <w:rPr>
          <w:lang w:val="es-ES_tradnl"/>
        </w:rPr>
        <w:t xml:space="preserve">Se ha descrito su secuencia completa la cual contiene una única zona de lectura (ORF) que codifica una </w:t>
      </w:r>
      <w:proofErr w:type="spellStart"/>
      <w:r>
        <w:rPr>
          <w:lang w:val="es-ES_tradnl"/>
        </w:rPr>
        <w:t>poliproteina</w:t>
      </w:r>
      <w:proofErr w:type="spellEnd"/>
      <w:r>
        <w:rPr>
          <w:lang w:val="es-ES_tradnl"/>
        </w:rPr>
        <w:t xml:space="preserve"> precursora de 3011 aminoácidos, que posteriormente es fragmentada en diferentes polipéptidos estructurales y funcionales. Igual que los otros </w:t>
      </w:r>
      <w:proofErr w:type="spellStart"/>
      <w:r>
        <w:rPr>
          <w:lang w:val="es-ES_tradnl"/>
        </w:rPr>
        <w:t>flavivirus</w:t>
      </w:r>
      <w:proofErr w:type="spellEnd"/>
      <w:r>
        <w:rPr>
          <w:lang w:val="es-ES_tradnl"/>
        </w:rPr>
        <w:t xml:space="preserve"> el genoma del VHC tiene en la posición 5' una región que codifica las proteínas de la partícula </w:t>
      </w:r>
      <w:proofErr w:type="gramStart"/>
      <w:r>
        <w:rPr>
          <w:lang w:val="es-ES_tradnl"/>
        </w:rPr>
        <w:t>viral(</w:t>
      </w:r>
      <w:proofErr w:type="gramEnd"/>
      <w:r>
        <w:rPr>
          <w:lang w:val="es-ES_tradnl"/>
        </w:rPr>
        <w:t>proteínas estructurales) y otra hacia el extremo 3' que codifica proteínas enzimáticas (proteínas funcionales que no forman parte de la estructura viral NS).</w:t>
      </w:r>
    </w:p>
    <w:p w:rsidR="00ED6E17" w:rsidRPr="007407C3" w:rsidRDefault="00ED6E17" w:rsidP="00CC5025">
      <w:pPr>
        <w:rPr>
          <w:b/>
          <w:lang w:val="es-ES_tradnl"/>
        </w:rPr>
      </w:pPr>
      <w:r w:rsidRPr="007407C3">
        <w:rPr>
          <w:b/>
          <w:lang w:val="es-ES_tradnl"/>
        </w:rPr>
        <w:t>REGION 5' NO CODIFICANTE</w:t>
      </w:r>
    </w:p>
    <w:p w:rsidR="00ED6E17" w:rsidRDefault="00ED6E17" w:rsidP="00CC5025">
      <w:pPr>
        <w:rPr>
          <w:lang w:val="es-ES_tradnl"/>
        </w:rPr>
      </w:pPr>
      <w:r>
        <w:rPr>
          <w:lang w:val="es-ES_tradnl"/>
        </w:rPr>
        <w:t xml:space="preserve">Más allá del extremo 5' del genoma existe una pequeña secuencia de unas 34 bases que no expresa proteínas (región no codificante, 5'UTR) </w:t>
      </w:r>
      <w:r>
        <w:rPr>
          <w:lang w:val="es-ES_tradnl"/>
        </w:rPr>
        <w:noBreakHyphen/>
        <w:t xml:space="preserve"> </w:t>
      </w:r>
      <w:proofErr w:type="spellStart"/>
      <w:r>
        <w:rPr>
          <w:lang w:val="es-ES_tradnl"/>
        </w:rPr>
        <w:t>Untranslated</w:t>
      </w:r>
      <w:proofErr w:type="spellEnd"/>
      <w:r>
        <w:rPr>
          <w:lang w:val="es-ES_tradnl"/>
        </w:rPr>
        <w:t xml:space="preserve"> </w:t>
      </w:r>
      <w:proofErr w:type="spellStart"/>
      <w:r>
        <w:rPr>
          <w:lang w:val="es-ES_tradnl"/>
        </w:rPr>
        <w:t>Region</w:t>
      </w:r>
      <w:proofErr w:type="spellEnd"/>
      <w:r>
        <w:rPr>
          <w:lang w:val="es-ES_tradnl"/>
        </w:rPr>
        <w:noBreakHyphen/>
        <w:t xml:space="preserve"> y que es la zona más conservada (92, 98 % de igualdad) en todos los tipos de virus aislados (Figura 1). Esta homogeneidad de 5'</w:t>
      </w:r>
      <w:r>
        <w:rPr>
          <w:lang w:val="es-ES_tradnl"/>
        </w:rPr>
        <w:noBreakHyphen/>
        <w:t xml:space="preserve">UTR hace presumir que contiene información de elementos reguladores para la traslación y </w:t>
      </w:r>
      <w:proofErr w:type="spellStart"/>
      <w:r>
        <w:rPr>
          <w:lang w:val="es-ES_tradnl"/>
        </w:rPr>
        <w:t>tambiÉn</w:t>
      </w:r>
      <w:proofErr w:type="spellEnd"/>
      <w:r>
        <w:rPr>
          <w:lang w:val="es-ES_tradnl"/>
        </w:rPr>
        <w:t xml:space="preserve"> para la replicación y empaquetamiento del virus.</w:t>
      </w:r>
    </w:p>
    <w:p w:rsidR="00ED6E17" w:rsidRDefault="00ED6E17" w:rsidP="00CC5025">
      <w:pPr>
        <w:rPr>
          <w:lang w:val="es-ES_tradnl"/>
        </w:rPr>
      </w:pPr>
      <w:r>
        <w:rPr>
          <w:lang w:val="es-ES_tradnl"/>
        </w:rPr>
        <w:t>Casi con certeza las mutaciones a este nivel son letales para el virus y no son toleradas.</w:t>
      </w:r>
    </w:p>
    <w:p w:rsidR="00ED6E17" w:rsidRPr="007407C3" w:rsidRDefault="00ED6E17" w:rsidP="00CC5025">
      <w:pPr>
        <w:rPr>
          <w:b/>
          <w:lang w:val="es-ES_tradnl"/>
        </w:rPr>
      </w:pPr>
      <w:r w:rsidRPr="007407C3">
        <w:rPr>
          <w:b/>
          <w:lang w:val="es-ES_tradnl"/>
        </w:rPr>
        <w:t>REGION CODIFICANTE</w:t>
      </w:r>
    </w:p>
    <w:p w:rsidR="00ED6E17" w:rsidRDefault="00ED6E17" w:rsidP="00CC5025">
      <w:pPr>
        <w:rPr>
          <w:lang w:val="es-ES_tradnl"/>
        </w:rPr>
      </w:pPr>
      <w:r>
        <w:rPr>
          <w:lang w:val="es-ES_tradnl"/>
        </w:rPr>
        <w:t>* Región estructural:</w:t>
      </w:r>
    </w:p>
    <w:p w:rsidR="00ED6E17" w:rsidRDefault="00ED6E17" w:rsidP="00CC5025">
      <w:pPr>
        <w:rPr>
          <w:lang w:val="es-ES_tradnl"/>
        </w:rPr>
      </w:pPr>
      <w:r>
        <w:rPr>
          <w:lang w:val="es-ES_tradnl"/>
        </w:rPr>
        <w:t xml:space="preserve">En esta región tenemos los genes C, E1 y E2. El gen C codifica una proteína de unos 191 aa. que forma la </w:t>
      </w:r>
      <w:proofErr w:type="spellStart"/>
      <w:r>
        <w:rPr>
          <w:lang w:val="es-ES_tradnl"/>
        </w:rPr>
        <w:t>nucleópside</w:t>
      </w:r>
      <w:proofErr w:type="spellEnd"/>
      <w:r>
        <w:rPr>
          <w:lang w:val="es-ES_tradnl"/>
        </w:rPr>
        <w:t>, se denomina p22 (antígeno c22). Está altamente conservada en diferentes genotipos. Los genes E1 y E</w:t>
      </w:r>
      <w:proofErr w:type="gramStart"/>
      <w:r>
        <w:rPr>
          <w:lang w:val="es-ES_tradnl"/>
        </w:rPr>
        <w:t>2 ,</w:t>
      </w:r>
      <w:proofErr w:type="gramEnd"/>
      <w:r>
        <w:rPr>
          <w:lang w:val="es-ES_tradnl"/>
        </w:rPr>
        <w:t xml:space="preserve"> este  último bautizado inicialmente como NS1, codifican las proteínas de la envoltura viral. E1 es el responsable de una glicoproteína de 192 aa. (antígeno gp33). E2 responde de la traslación de otra glicoproteína de 327 aa. (antígeno gp70), muy variable y que parece ser el blanco de los anticuerpos neutralizantes.</w:t>
      </w:r>
    </w:p>
    <w:p w:rsidR="00ED6E17" w:rsidRDefault="00ED6E17" w:rsidP="00CC5025">
      <w:pPr>
        <w:rPr>
          <w:lang w:val="es-ES_tradnl"/>
        </w:rPr>
      </w:pPr>
      <w:r>
        <w:rPr>
          <w:lang w:val="es-ES_tradnl"/>
        </w:rPr>
        <w:t>* Región no estructural</w:t>
      </w:r>
    </w:p>
    <w:p w:rsidR="00ED6E17" w:rsidRDefault="00ED6E17" w:rsidP="00CC5025">
      <w:pPr>
        <w:rPr>
          <w:lang w:val="es-ES_tradnl"/>
        </w:rPr>
      </w:pPr>
      <w:r>
        <w:rPr>
          <w:lang w:val="es-ES_tradnl"/>
        </w:rPr>
        <w:t xml:space="preserve">Contiene los genes NS2, NS3, NS4 y NS5 que como se comentó codifican proteínas funcionales cada una con diferentes cometidos. VHC no produce </w:t>
      </w:r>
      <w:proofErr w:type="spellStart"/>
      <w:r>
        <w:rPr>
          <w:lang w:val="es-ES_tradnl"/>
        </w:rPr>
        <w:t>ADNs</w:t>
      </w:r>
      <w:proofErr w:type="spellEnd"/>
      <w:r>
        <w:rPr>
          <w:lang w:val="es-ES_tradnl"/>
        </w:rPr>
        <w:t xml:space="preserve"> intermediarios de la replicación ni se ha encontrado material genético integrado en el genoma del huésped desconociéndose hasta este momento el mecanismo oncogénico de este virus.</w:t>
      </w:r>
    </w:p>
    <w:p w:rsidR="00ED6E17" w:rsidRDefault="00ED6E17" w:rsidP="00ED6E17">
      <w:pPr>
        <w:rPr>
          <w:lang w:val="es-ES_tradnl"/>
        </w:rPr>
      </w:pPr>
      <w:r>
        <w:rPr>
          <w:rStyle w:val="Hypertext"/>
          <w:rFonts w:ascii="Arial" w:hAnsi="Arial" w:cs="Arial"/>
          <w:sz w:val="32"/>
        </w:rPr>
        <w:t>2. DIVERSIDAD GENETICA</w:t>
      </w:r>
      <w:r>
        <w:rPr>
          <w:lang w:val="es-ES_tradnl"/>
        </w:rPr>
        <w:t xml:space="preserve"> </w:t>
      </w:r>
      <w:r>
        <w:rPr>
          <w:rStyle w:val="Hypertext"/>
          <w:rFonts w:ascii="Arial" w:hAnsi="Arial" w:cs="Arial"/>
          <w:i/>
          <w:iCs/>
          <w:lang w:val="es-ES_tradnl"/>
        </w:rPr>
        <w:t>(volver al índice)</w:t>
      </w:r>
    </w:p>
    <w:p w:rsidR="00ED6E17" w:rsidRDefault="00ED6E17" w:rsidP="00CC5025">
      <w:pPr>
        <w:rPr>
          <w:lang w:val="es-ES_tradnl"/>
        </w:rPr>
      </w:pPr>
      <w:r>
        <w:rPr>
          <w:lang w:val="es-ES_tradnl"/>
        </w:rPr>
        <w:t xml:space="preserve">La variabilidad de los genomas ARN es consustancial con la infidelidad de copia de sus ARN polimerasas Esta diversidad en los virus ha </w:t>
      </w:r>
      <w:proofErr w:type="spellStart"/>
      <w:r>
        <w:rPr>
          <w:lang w:val="es-ES_tradnl"/>
        </w:rPr>
        <w:t>acu</w:t>
      </w:r>
      <w:r>
        <w:rPr>
          <w:lang w:val="es-ES_tradnl"/>
        </w:rPr>
        <w:t>ado</w:t>
      </w:r>
      <w:proofErr w:type="spellEnd"/>
      <w:r>
        <w:rPr>
          <w:lang w:val="es-ES_tradnl"/>
        </w:rPr>
        <w:t xml:space="preserve"> el término de "</w:t>
      </w:r>
      <w:proofErr w:type="spellStart"/>
      <w:r>
        <w:rPr>
          <w:lang w:val="es-ES_tradnl"/>
        </w:rPr>
        <w:t>quasiespecie</w:t>
      </w:r>
      <w:proofErr w:type="spellEnd"/>
      <w:r>
        <w:rPr>
          <w:lang w:val="es-ES_tradnl"/>
        </w:rPr>
        <w:t xml:space="preserve">" viral. La </w:t>
      </w:r>
      <w:r>
        <w:rPr>
          <w:lang w:val="es-ES_tradnl"/>
        </w:rPr>
        <w:lastRenderedPageBreak/>
        <w:t>comparación entre los genomas de VHC han mostrado una considerable variabilidad en las regiones de la envoltura (E) y en las no estructurales (NS), mientras que la 5' no codificante (5'</w:t>
      </w:r>
      <w:r>
        <w:rPr>
          <w:lang w:val="es-ES_tradnl"/>
        </w:rPr>
        <w:noBreakHyphen/>
        <w:t xml:space="preserve">UTR) y en mucho menor grado, la región del </w:t>
      </w:r>
      <w:proofErr w:type="spellStart"/>
      <w:r>
        <w:rPr>
          <w:lang w:val="es-ES_tradnl"/>
        </w:rPr>
        <w:t>core</w:t>
      </w:r>
      <w:proofErr w:type="spellEnd"/>
      <w:r>
        <w:rPr>
          <w:lang w:val="es-ES_tradnl"/>
        </w:rPr>
        <w:t xml:space="preserve"> están altamente conservadas. Fundamentalmente han existido dos iniciativas serias de clasificación que han sido sucesivas. Una se basaba en las descripciones de los grupos japoneses que agrupaba a los diferentes aislados en tres grupos (</w:t>
      </w:r>
      <w:proofErr w:type="gramStart"/>
      <w:r>
        <w:rPr>
          <w:lang w:val="es-ES_tradnl"/>
        </w:rPr>
        <w:t>I,II</w:t>
      </w:r>
      <w:proofErr w:type="gramEnd"/>
      <w:r>
        <w:rPr>
          <w:lang w:val="es-ES_tradnl"/>
        </w:rPr>
        <w:t xml:space="preserve"> y III) con la posibilidad de ampliación a un cuarto y otra, la más actual, se basa en las </w:t>
      </w:r>
      <w:proofErr w:type="spellStart"/>
      <w:r>
        <w:rPr>
          <w:lang w:val="es-ES_tradnl"/>
        </w:rPr>
        <w:t>peque</w:t>
      </w:r>
      <w:r>
        <w:rPr>
          <w:lang w:val="es-ES_tradnl"/>
        </w:rPr>
        <w:t>as</w:t>
      </w:r>
      <w:proofErr w:type="spellEnd"/>
      <w:r>
        <w:rPr>
          <w:lang w:val="es-ES_tradnl"/>
        </w:rPr>
        <w:t xml:space="preserve"> diferencias encontradas sobre 5'</w:t>
      </w:r>
      <w:r>
        <w:rPr>
          <w:lang w:val="es-ES_tradnl"/>
        </w:rPr>
        <w:noBreakHyphen/>
        <w:t xml:space="preserve">UTR, que han dado lugar a un nuevo árbol definido por </w:t>
      </w:r>
      <w:proofErr w:type="spellStart"/>
      <w:r>
        <w:rPr>
          <w:lang w:val="es-ES_tradnl"/>
        </w:rPr>
        <w:t>Simmonds</w:t>
      </w:r>
      <w:proofErr w:type="spellEnd"/>
      <w:r>
        <w:rPr>
          <w:lang w:val="es-ES_tradnl"/>
        </w:rPr>
        <w:t xml:space="preserve"> y </w:t>
      </w:r>
      <w:proofErr w:type="spellStart"/>
      <w:r>
        <w:rPr>
          <w:lang w:val="es-ES_tradnl"/>
        </w:rPr>
        <w:t>Cols</w:t>
      </w:r>
      <w:proofErr w:type="spellEnd"/>
      <w:r>
        <w:rPr>
          <w:lang w:val="es-ES_tradnl"/>
        </w:rPr>
        <w:t xml:space="preserve"> en 1993 y que agrupa la mayoría de aislados conocidos.</w:t>
      </w:r>
    </w:p>
    <w:p w:rsidR="00ED6E17" w:rsidRDefault="00ED6E17" w:rsidP="00ED6E17">
      <w:pPr>
        <w:rPr>
          <w:lang w:val="es-ES_tradnl"/>
        </w:rPr>
      </w:pPr>
      <w:r w:rsidRPr="00F4378D">
        <w:rPr>
          <w:rStyle w:val="Hypertext"/>
          <w:rFonts w:ascii="Arial" w:hAnsi="Arial" w:cs="Arial"/>
          <w:bCs w:val="0"/>
          <w:sz w:val="32"/>
          <w:szCs w:val="32"/>
          <w:u w:val="none"/>
        </w:rPr>
        <w:t>3. ASPECTOS CLINICOS DE LA HEPATITIS C</w:t>
      </w:r>
      <w:r w:rsidRPr="00F4378D">
        <w:rPr>
          <w:sz w:val="32"/>
          <w:szCs w:val="32"/>
          <w:lang w:val="es-ES_tradnl"/>
        </w:rPr>
        <w:t xml:space="preserve"> </w:t>
      </w:r>
      <w:r>
        <w:rPr>
          <w:rStyle w:val="Hypertext"/>
          <w:rFonts w:ascii="Arial" w:hAnsi="Arial" w:cs="Arial"/>
          <w:i/>
          <w:iCs/>
          <w:lang w:val="es-ES_tradnl"/>
        </w:rPr>
        <w:t>(volver al índice)</w:t>
      </w:r>
    </w:p>
    <w:p w:rsidR="00ED6E17" w:rsidRDefault="00ED6E17" w:rsidP="00ED6E17">
      <w:pPr>
        <w:ind w:firstLine="567"/>
        <w:rPr>
          <w:lang w:val="es-ES_tradnl"/>
        </w:rPr>
      </w:pPr>
      <w:r>
        <w:rPr>
          <w:rStyle w:val="Hypertext"/>
          <w:rFonts w:ascii="Arial" w:hAnsi="Arial" w:cs="Arial"/>
          <w:sz w:val="32"/>
          <w:szCs w:val="32"/>
        </w:rPr>
        <w:t>a</w:t>
      </w:r>
      <w:r w:rsidRPr="00F4378D">
        <w:rPr>
          <w:rStyle w:val="Hypertext"/>
          <w:rFonts w:ascii="Arial" w:hAnsi="Arial" w:cs="Arial"/>
          <w:sz w:val="32"/>
          <w:szCs w:val="32"/>
          <w:u w:val="none"/>
        </w:rPr>
        <w:t>.  INFECCIÓN AGUDA</w:t>
      </w:r>
      <w:r>
        <w:rPr>
          <w:sz w:val="28"/>
          <w:lang w:val="es-ES_tradnl"/>
        </w:rPr>
        <w:t xml:space="preserve"> </w:t>
      </w:r>
      <w:r>
        <w:rPr>
          <w:rStyle w:val="Hypertext"/>
          <w:rFonts w:ascii="Arial" w:hAnsi="Arial" w:cs="Arial"/>
          <w:i/>
          <w:iCs/>
          <w:lang w:val="es-ES_tradnl"/>
        </w:rPr>
        <w:t>(volver al índice)</w:t>
      </w:r>
    </w:p>
    <w:p w:rsidR="00ED6E17" w:rsidRDefault="00ED6E17" w:rsidP="00CC5025">
      <w:pPr>
        <w:rPr>
          <w:lang w:val="es-ES_tradnl"/>
        </w:rPr>
      </w:pPr>
      <w:r>
        <w:rPr>
          <w:b/>
          <w:bCs/>
          <w:lang w:val="es-ES_tradnl"/>
        </w:rPr>
        <w:t xml:space="preserve">Como regla general la </w:t>
      </w:r>
      <w:proofErr w:type="spellStart"/>
      <w:r>
        <w:rPr>
          <w:b/>
          <w:bCs/>
          <w:lang w:val="es-ES_tradnl"/>
        </w:rPr>
        <w:t>primoinfección</w:t>
      </w:r>
      <w:proofErr w:type="spellEnd"/>
      <w:r>
        <w:rPr>
          <w:b/>
          <w:bCs/>
          <w:lang w:val="es-ES_tradnl"/>
        </w:rPr>
        <w:t xml:space="preserve"> es asintomática en el 90</w:t>
      </w:r>
      <w:r>
        <w:rPr>
          <w:b/>
          <w:bCs/>
          <w:lang w:val="es-ES_tradnl"/>
        </w:rPr>
        <w:noBreakHyphen/>
        <w:t>95% de los casos</w:t>
      </w:r>
      <w:r>
        <w:rPr>
          <w:lang w:val="es-ES_tradnl"/>
        </w:rPr>
        <w:t xml:space="preserve">. </w:t>
      </w:r>
    </w:p>
    <w:p w:rsidR="00ED6E17" w:rsidRDefault="00ED6E17" w:rsidP="00CC5025">
      <w:pPr>
        <w:rPr>
          <w:lang w:val="es-ES_tradnl"/>
        </w:rPr>
      </w:pPr>
      <w:r>
        <w:rPr>
          <w:lang w:val="es-ES_tradnl"/>
        </w:rPr>
        <w:t xml:space="preserve">Las formas agudas suelen ser poco habituales (10%) y escasamente graves. El periodo de incubación se estima entre 2 y 26 </w:t>
      </w:r>
      <w:proofErr w:type="gramStart"/>
      <w:r>
        <w:rPr>
          <w:lang w:val="es-ES_tradnl"/>
        </w:rPr>
        <w:t>semanas</w:t>
      </w:r>
      <w:proofErr w:type="gramEnd"/>
      <w:r>
        <w:rPr>
          <w:lang w:val="es-ES_tradnl"/>
        </w:rPr>
        <w:t xml:space="preserve"> aunque en el 80</w:t>
      </w:r>
      <w:r>
        <w:rPr>
          <w:lang w:val="es-ES_tradnl"/>
        </w:rPr>
        <w:noBreakHyphen/>
        <w:t xml:space="preserve">90% de los infectados los síntomas aparecen entre las 4 y 10 semanas; la incubación de las </w:t>
      </w:r>
      <w:proofErr w:type="spellStart"/>
      <w:r>
        <w:rPr>
          <w:lang w:val="es-ES_tradnl"/>
        </w:rPr>
        <w:t>postransfusionales</w:t>
      </w:r>
      <w:proofErr w:type="spellEnd"/>
      <w:r>
        <w:rPr>
          <w:lang w:val="es-ES_tradnl"/>
        </w:rPr>
        <w:t xml:space="preserve"> es más corto. El cuadro clínico de la forma aguda es similar al de otras hepatitis, </w:t>
      </w:r>
      <w:r>
        <w:rPr>
          <w:b/>
          <w:bCs/>
          <w:lang w:val="es-ES_tradnl"/>
        </w:rPr>
        <w:t xml:space="preserve">pero el virus C no suele producir ictericia </w:t>
      </w:r>
      <w:r>
        <w:rPr>
          <w:lang w:val="es-ES_tradnl"/>
        </w:rPr>
        <w:t xml:space="preserve">y el nivel de ALT suele ser igualmente más bajo y generalmente fluctuante, alcanzando su máximo nivel entre los 30 </w:t>
      </w:r>
      <w:r>
        <w:rPr>
          <w:lang w:val="es-ES_tradnl"/>
        </w:rPr>
        <w:noBreakHyphen/>
        <w:t xml:space="preserve"> 60 días </w:t>
      </w:r>
      <w:proofErr w:type="spellStart"/>
      <w:r>
        <w:rPr>
          <w:lang w:val="es-ES_tradnl"/>
        </w:rPr>
        <w:t>postinfección</w:t>
      </w:r>
      <w:proofErr w:type="spellEnd"/>
      <w:r>
        <w:rPr>
          <w:lang w:val="es-ES_tradnl"/>
        </w:rPr>
        <w:t xml:space="preserve"> y en coincidencia con la inflamación aguda del hígado. </w:t>
      </w:r>
    </w:p>
    <w:p w:rsidR="00ED6E17" w:rsidRDefault="00ED6E17" w:rsidP="00CC5025">
      <w:pPr>
        <w:rPr>
          <w:lang w:val="es-ES_tradnl"/>
        </w:rPr>
      </w:pPr>
      <w:r>
        <w:rPr>
          <w:lang w:val="es-ES_tradnl"/>
        </w:rPr>
        <w:t>Cuadros más intensos no suelen ser habituales (5%) y dependen en gran parte de la dosis infectiva.</w:t>
      </w:r>
    </w:p>
    <w:p w:rsidR="00ED6E17" w:rsidRDefault="00ED6E17" w:rsidP="00CC5025">
      <w:pPr>
        <w:rPr>
          <w:lang w:val="es-ES_tradnl"/>
        </w:rPr>
      </w:pPr>
      <w:r>
        <w:rPr>
          <w:b/>
          <w:bCs/>
          <w:lang w:val="es-ES_tradnl"/>
        </w:rPr>
        <w:t>Las formas fulminantes son muy poco frecuentes.</w:t>
      </w:r>
    </w:p>
    <w:p w:rsidR="00ED6E17" w:rsidRDefault="00ED6E17" w:rsidP="00ED6E17">
      <w:pPr>
        <w:ind w:firstLine="567"/>
        <w:rPr>
          <w:rStyle w:val="Hypertext"/>
          <w:rFonts w:ascii="Arial" w:hAnsi="Arial" w:cs="Arial"/>
          <w:i/>
          <w:iCs/>
          <w:lang w:val="es-ES_tradnl"/>
        </w:rPr>
      </w:pPr>
      <w:proofErr w:type="spellStart"/>
      <w:proofErr w:type="gramStart"/>
      <w:r>
        <w:rPr>
          <w:rStyle w:val="Hypertext"/>
          <w:rFonts w:ascii="Arial" w:hAnsi="Arial" w:cs="Arial"/>
          <w:bCs w:val="0"/>
          <w:sz w:val="32"/>
          <w:szCs w:val="32"/>
        </w:rPr>
        <w:t>b.</w:t>
      </w:r>
      <w:r w:rsidRPr="00F4378D">
        <w:rPr>
          <w:rStyle w:val="Hypertext"/>
          <w:rFonts w:ascii="Arial" w:hAnsi="Arial" w:cs="Arial"/>
          <w:bCs w:val="0"/>
          <w:sz w:val="32"/>
          <w:szCs w:val="32"/>
          <w:u w:val="none"/>
        </w:rPr>
        <w:t>INFECCIÓN</w:t>
      </w:r>
      <w:proofErr w:type="spellEnd"/>
      <w:proofErr w:type="gramEnd"/>
      <w:r w:rsidRPr="00F4378D">
        <w:rPr>
          <w:rStyle w:val="Hypertext"/>
          <w:rFonts w:ascii="Arial" w:hAnsi="Arial" w:cs="Arial"/>
          <w:bCs w:val="0"/>
          <w:sz w:val="32"/>
          <w:szCs w:val="32"/>
          <w:u w:val="none"/>
        </w:rPr>
        <w:t xml:space="preserve"> CRÓNICA</w:t>
      </w:r>
      <w:r>
        <w:rPr>
          <w:lang w:val="es-ES_tradnl"/>
        </w:rPr>
        <w:t xml:space="preserve"> </w:t>
      </w:r>
      <w:r>
        <w:rPr>
          <w:rStyle w:val="Hypertext"/>
          <w:rFonts w:ascii="Arial" w:hAnsi="Arial" w:cs="Arial"/>
          <w:i/>
          <w:iCs/>
          <w:lang w:val="es-ES_tradnl"/>
        </w:rPr>
        <w:t>(volver al índice)</w:t>
      </w:r>
    </w:p>
    <w:p w:rsidR="00ED6E17" w:rsidRPr="007407C3" w:rsidRDefault="00ED6E17" w:rsidP="00CC5025">
      <w:pPr>
        <w:rPr>
          <w:bCs/>
          <w:lang w:val="es-ES_tradnl"/>
        </w:rPr>
      </w:pPr>
      <w:r w:rsidRPr="007407C3">
        <w:rPr>
          <w:bCs/>
          <w:lang w:val="es-ES_tradnl"/>
        </w:rPr>
        <w:t xml:space="preserve">Aunque la resolución definitiva de la enfermedad es posible (10 </w:t>
      </w:r>
      <w:r w:rsidRPr="007407C3">
        <w:rPr>
          <w:bCs/>
          <w:lang w:val="es-ES_tradnl"/>
        </w:rPr>
        <w:noBreakHyphen/>
        <w:t xml:space="preserve"> 15 % de los casos), lo más frecuente en cualquiera de sus formas clínicas es la evolución a la cronicidad. La proporción de pacientes con infección aguda por virus C que se transforman en infecciones crónicas se estima que es un 60</w:t>
      </w:r>
      <w:r w:rsidRPr="007407C3">
        <w:rPr>
          <w:bCs/>
          <w:lang w:val="es-ES_tradnl"/>
        </w:rPr>
        <w:noBreakHyphen/>
        <w:t>70%. Si la infección ha sido adquirida por transfusión, la cronicidad es la norma en el 50</w:t>
      </w:r>
      <w:r w:rsidRPr="007407C3">
        <w:rPr>
          <w:bCs/>
          <w:lang w:val="es-ES_tradnl"/>
        </w:rPr>
        <w:noBreakHyphen/>
        <w:t>70% de los infectados mientras que en los casos esporádicos estas cifras descienden a rangos del 15</w:t>
      </w:r>
      <w:r w:rsidRPr="007407C3">
        <w:rPr>
          <w:bCs/>
          <w:lang w:val="es-ES_tradnl"/>
        </w:rPr>
        <w:noBreakHyphen/>
        <w:t xml:space="preserve"> 30</w:t>
      </w:r>
      <w:proofErr w:type="gramStart"/>
      <w:r w:rsidRPr="007407C3">
        <w:rPr>
          <w:bCs/>
          <w:lang w:val="es-ES_tradnl"/>
        </w:rPr>
        <w:t>%.Sólo</w:t>
      </w:r>
      <w:proofErr w:type="gramEnd"/>
      <w:r w:rsidRPr="007407C3">
        <w:rPr>
          <w:bCs/>
          <w:lang w:val="es-ES_tradnl"/>
        </w:rPr>
        <w:t xml:space="preserve"> el 40</w:t>
      </w:r>
      <w:r w:rsidRPr="007407C3">
        <w:rPr>
          <w:bCs/>
          <w:lang w:val="es-ES_tradnl"/>
        </w:rPr>
        <w:noBreakHyphen/>
        <w:t>60% de los pacientes con infección crónica desarrollan hepatitis, la situación puede variar desde un estado asintomático sin daño hepático hasta una forma con hepatitis rápida que en poco tiempo, 8 o 10 años, produce cirrosis. Lo habitual es que esta evolución se haga en un periodo de 20 o 30 años. La práctica repetida de biopsias hepáticas muestra una gran heterogeneidad entre los pacientes infectados crónicamente por VHC. En algunos casos las lesiones se mantienen estables durante años, en otros empeoran progresivamente y en otros alternan fases de empeoramiento y de mejoría. La progresión a cirrosis, parece producirse de forma gradual, por lo que la proporción de pacientes cirróticos aumenta con el paso de los años. No se han comprobado diferencias claras en la evolución entre los pacientes con hepatitis por VHC adquirida por transfusión y la de adquisición esporádica.</w:t>
      </w:r>
    </w:p>
    <w:p w:rsidR="00ED6E17" w:rsidRPr="007407C3" w:rsidRDefault="00ED6E17" w:rsidP="00CC5025">
      <w:pPr>
        <w:rPr>
          <w:bCs/>
          <w:lang w:val="es-ES_tradnl"/>
        </w:rPr>
      </w:pPr>
      <w:r w:rsidRPr="007407C3">
        <w:rPr>
          <w:bCs/>
          <w:lang w:val="es-ES_tradnl"/>
        </w:rPr>
        <w:t xml:space="preserve">Con independencia de la evolución histológica, que puede ser muy evolucionada incluso en pacientes totalmente asintomáticos y con ALT normales, las manifestaciones clínicas de la </w:t>
      </w:r>
      <w:r w:rsidRPr="007407C3">
        <w:rPr>
          <w:bCs/>
          <w:lang w:val="es-ES_tradnl"/>
        </w:rPr>
        <w:lastRenderedPageBreak/>
        <w:t xml:space="preserve">hepatitis crónica por VHC se mantienen modestas a lo largo de los años. La mayoría de los pacientes siguen libres de síntomas o con mínimas molestias inespecíficas que rara vez interfieren con su actividad cotidiana. Esta ausencia de síntomas se comprueba no sólo en los pacientes que presentan lesiones hepáticas estables y mínimas sino </w:t>
      </w:r>
      <w:proofErr w:type="spellStart"/>
      <w:r w:rsidRPr="007407C3">
        <w:rPr>
          <w:bCs/>
          <w:lang w:val="es-ES_tradnl"/>
        </w:rPr>
        <w:t>tambiÉn</w:t>
      </w:r>
      <w:proofErr w:type="spellEnd"/>
      <w:r w:rsidRPr="007407C3">
        <w:rPr>
          <w:bCs/>
          <w:lang w:val="es-ES_tradnl"/>
        </w:rPr>
        <w:t xml:space="preserve"> en los que progresan a la cirrosis, por lo que permanecer asintomático no garantiza una evolución favorable.</w:t>
      </w:r>
    </w:p>
    <w:p w:rsidR="00ED6E17" w:rsidRPr="007407C3" w:rsidRDefault="00ED6E17" w:rsidP="00CC5025">
      <w:pPr>
        <w:rPr>
          <w:bCs/>
          <w:lang w:val="es-ES_tradnl"/>
        </w:rPr>
      </w:pPr>
      <w:r w:rsidRPr="007407C3">
        <w:rPr>
          <w:bCs/>
          <w:lang w:val="es-ES_tradnl"/>
        </w:rPr>
        <w:t xml:space="preserve">La gran mayoría de los pacientes con </w:t>
      </w:r>
      <w:proofErr w:type="spellStart"/>
      <w:r w:rsidRPr="007407C3">
        <w:rPr>
          <w:bCs/>
          <w:lang w:val="es-ES_tradnl"/>
        </w:rPr>
        <w:t>hepatocarcinoma</w:t>
      </w:r>
      <w:proofErr w:type="spellEnd"/>
      <w:r w:rsidRPr="007407C3">
        <w:rPr>
          <w:bCs/>
          <w:lang w:val="es-ES_tradnl"/>
        </w:rPr>
        <w:t xml:space="preserve"> asociado al VHC padecen cirrosis. Sin embargo, aproximadamente un 3% de los </w:t>
      </w:r>
      <w:proofErr w:type="spellStart"/>
      <w:r w:rsidRPr="007407C3">
        <w:rPr>
          <w:bCs/>
          <w:lang w:val="es-ES_tradnl"/>
        </w:rPr>
        <w:t>hepatocarcinomas</w:t>
      </w:r>
      <w:proofErr w:type="spellEnd"/>
      <w:r w:rsidRPr="007407C3">
        <w:rPr>
          <w:bCs/>
          <w:lang w:val="es-ES_tradnl"/>
        </w:rPr>
        <w:t xml:space="preserve"> se desarrollan sobre hígados no cirróticos, A pesar de la ausencia de integración de este virus estos datos lo hacen pensar en la existencia de un efecto oncogénico directo del VHC. El intervalo entre la infección por VHC y la aparición del </w:t>
      </w:r>
      <w:proofErr w:type="spellStart"/>
      <w:r w:rsidRPr="007407C3">
        <w:rPr>
          <w:bCs/>
          <w:lang w:val="es-ES_tradnl"/>
        </w:rPr>
        <w:t>hepatocarcinoma</w:t>
      </w:r>
      <w:proofErr w:type="spellEnd"/>
      <w:r w:rsidRPr="007407C3">
        <w:rPr>
          <w:bCs/>
          <w:lang w:val="es-ES_tradnl"/>
        </w:rPr>
        <w:t xml:space="preserve"> es de 7 a 25 </w:t>
      </w:r>
      <w:proofErr w:type="spellStart"/>
      <w:r w:rsidRPr="007407C3">
        <w:rPr>
          <w:bCs/>
          <w:lang w:val="es-ES_tradnl"/>
        </w:rPr>
        <w:t>a</w:t>
      </w:r>
      <w:r w:rsidRPr="007407C3">
        <w:rPr>
          <w:bCs/>
          <w:lang w:val="es-ES_tradnl"/>
        </w:rPr>
        <w:t>os</w:t>
      </w:r>
      <w:proofErr w:type="spellEnd"/>
      <w:r w:rsidRPr="007407C3">
        <w:rPr>
          <w:bCs/>
          <w:lang w:val="es-ES_tradnl"/>
        </w:rPr>
        <w:t>.</w:t>
      </w:r>
    </w:p>
    <w:p w:rsidR="00ED6E17" w:rsidRPr="007407C3" w:rsidRDefault="00ED6E17" w:rsidP="00CC5025">
      <w:pPr>
        <w:rPr>
          <w:bCs/>
          <w:lang w:val="es-ES_tradnl"/>
        </w:rPr>
      </w:pPr>
      <w:r w:rsidRPr="007407C3">
        <w:rPr>
          <w:bCs/>
          <w:lang w:val="es-ES_tradnl"/>
        </w:rPr>
        <w:t xml:space="preserve">Para terminar, es posible que la aparición de mutantes que escapen a la vigilancia del sistema inmune explique en muchos casos la persistencia de la infección. Es </w:t>
      </w:r>
      <w:proofErr w:type="spellStart"/>
      <w:r w:rsidRPr="007407C3">
        <w:rPr>
          <w:bCs/>
          <w:lang w:val="es-ES_tradnl"/>
        </w:rPr>
        <w:t>asÍ</w:t>
      </w:r>
      <w:proofErr w:type="spellEnd"/>
      <w:r w:rsidRPr="007407C3">
        <w:rPr>
          <w:bCs/>
          <w:lang w:val="es-ES_tradnl"/>
        </w:rPr>
        <w:t xml:space="preserve"> mismo posible que la infección por variantes genéticas con distinta capacidad aparecidas en el curso de la infección crónica bajo la presión del sistema inmune o adquiridas en el momento del contagio, pueda contribuir a explicar la marcada variabilidad evolutiva de la infección crónica por VHC. </w:t>
      </w:r>
    </w:p>
    <w:p w:rsidR="00ED6E17" w:rsidRDefault="00ED6E17" w:rsidP="00ED6E17">
      <w:pPr>
        <w:rPr>
          <w:lang w:val="es-ES_tradnl"/>
        </w:rPr>
      </w:pPr>
      <w:r w:rsidRPr="00F4378D">
        <w:rPr>
          <w:rStyle w:val="Hypertext"/>
          <w:rFonts w:ascii="Arial" w:hAnsi="Arial" w:cs="Arial"/>
          <w:sz w:val="32"/>
          <w:szCs w:val="32"/>
          <w:u w:val="none"/>
        </w:rPr>
        <w:t>4. DIAGNOSTICO DE LA INFECCIÓN POR VHC</w:t>
      </w:r>
      <w:r>
        <w:rPr>
          <w:sz w:val="28"/>
          <w:lang w:val="es-ES_tradnl"/>
        </w:rPr>
        <w:t xml:space="preserve"> </w:t>
      </w:r>
      <w:r>
        <w:rPr>
          <w:rStyle w:val="Hypertext"/>
          <w:rFonts w:ascii="Arial" w:hAnsi="Arial" w:cs="Arial"/>
          <w:i/>
          <w:iCs/>
          <w:lang w:val="es-ES_tradnl"/>
        </w:rPr>
        <w:t>(volver al índice)</w:t>
      </w:r>
    </w:p>
    <w:p w:rsidR="00ED6E17" w:rsidRDefault="00ED6E17" w:rsidP="00CC5025">
      <w:pPr>
        <w:rPr>
          <w:lang w:val="es-ES_tradnl"/>
        </w:rPr>
      </w:pPr>
      <w:r>
        <w:rPr>
          <w:lang w:val="es-ES_tradnl"/>
        </w:rPr>
        <w:t xml:space="preserve">Podemos dividir las pruebas de diagnóstico en dos grupos: </w:t>
      </w:r>
    </w:p>
    <w:p w:rsidR="00ED6E17" w:rsidRDefault="00ED6E17" w:rsidP="00CC5025">
      <w:pPr>
        <w:rPr>
          <w:lang w:val="es-ES_tradnl"/>
        </w:rPr>
      </w:pPr>
      <w:r>
        <w:rPr>
          <w:lang w:val="es-ES_tradnl"/>
        </w:rPr>
        <w:t xml:space="preserve">* Las que ponen de manifiesto anticuerpos frente a diferentes </w:t>
      </w:r>
      <w:proofErr w:type="gramStart"/>
      <w:r>
        <w:rPr>
          <w:lang w:val="es-ES_tradnl"/>
        </w:rPr>
        <w:t>antígenos  constitutivos</w:t>
      </w:r>
      <w:proofErr w:type="gramEnd"/>
      <w:r>
        <w:rPr>
          <w:lang w:val="es-ES_tradnl"/>
        </w:rPr>
        <w:t xml:space="preserve"> del virus o frente a proteínas producidas en su proceso de replicación.</w:t>
      </w:r>
    </w:p>
    <w:p w:rsidR="00ED6E17" w:rsidRDefault="00ED6E17" w:rsidP="00CC5025">
      <w:pPr>
        <w:rPr>
          <w:lang w:val="es-ES_tradnl"/>
        </w:rPr>
      </w:pPr>
      <w:r>
        <w:rPr>
          <w:lang w:val="es-ES_tradnl"/>
        </w:rPr>
        <w:t xml:space="preserve"> Su positividad indica que el paciente estuvo o está infectado el virus. De ninguna manera significa únicamente infección por </w:t>
      </w:r>
      <w:proofErr w:type="gramStart"/>
      <w:r>
        <w:rPr>
          <w:lang w:val="es-ES_tradnl"/>
        </w:rPr>
        <w:t>VHC..</w:t>
      </w:r>
      <w:proofErr w:type="gramEnd"/>
    </w:p>
    <w:p w:rsidR="00ED6E17" w:rsidRDefault="00ED6E17" w:rsidP="00CC5025">
      <w:pPr>
        <w:rPr>
          <w:lang w:val="es-ES_tradnl"/>
        </w:rPr>
      </w:pPr>
      <w:r>
        <w:rPr>
          <w:lang w:val="es-ES_tradnl"/>
        </w:rPr>
        <w:t xml:space="preserve">* Las que detectan componentes del virus y </w:t>
      </w:r>
      <w:proofErr w:type="gramStart"/>
      <w:r>
        <w:rPr>
          <w:lang w:val="es-ES_tradnl"/>
        </w:rPr>
        <w:t>que</w:t>
      </w:r>
      <w:proofErr w:type="gramEnd"/>
      <w:r>
        <w:rPr>
          <w:lang w:val="es-ES_tradnl"/>
        </w:rPr>
        <w:t xml:space="preserve"> por tanto, su positividad, es expresión de la pres</w:t>
      </w:r>
      <w:r w:rsidR="00F57E36">
        <w:rPr>
          <w:lang w:val="es-ES_tradnl"/>
        </w:rPr>
        <w:t>e</w:t>
      </w:r>
      <w:r>
        <w:rPr>
          <w:lang w:val="es-ES_tradnl"/>
        </w:rPr>
        <w:t>ncia del virus y de infección.</w:t>
      </w:r>
    </w:p>
    <w:p w:rsidR="00ED6E17" w:rsidRPr="007407C3" w:rsidRDefault="00ED6E17" w:rsidP="00CC5025">
      <w:pPr>
        <w:rPr>
          <w:b/>
        </w:rPr>
      </w:pPr>
      <w:r w:rsidRPr="007407C3">
        <w:rPr>
          <w:b/>
        </w:rPr>
        <w:t>DIAGNOSTICO SEROLOGICO. DETECCION DE ANTICUERPOS</w:t>
      </w:r>
    </w:p>
    <w:p w:rsidR="00ED6E17" w:rsidRDefault="00ED6E17" w:rsidP="00CC5025">
      <w:pPr>
        <w:rPr>
          <w:lang w:val="es-ES_tradnl"/>
        </w:rPr>
      </w:pPr>
      <w:r>
        <w:rPr>
          <w:lang w:val="es-ES_tradnl"/>
        </w:rPr>
        <w:t xml:space="preserve">La variedad de proteínas producidas durante el proceso de replicación del VHC produce una respuesta serológica muy variada frente a Él. No ha podido encontrarse una relación precisa entre los diferentes patrones de respuesta inmune y el </w:t>
      </w:r>
      <w:proofErr w:type="spellStart"/>
      <w:r>
        <w:rPr>
          <w:lang w:val="es-ES_tradnl"/>
        </w:rPr>
        <w:t>estadío</w:t>
      </w:r>
      <w:proofErr w:type="spellEnd"/>
      <w:r>
        <w:rPr>
          <w:lang w:val="es-ES_tradnl"/>
        </w:rPr>
        <w:t xml:space="preserve"> biológico o clínico de la infección. </w:t>
      </w:r>
    </w:p>
    <w:p w:rsidR="00ED6E17" w:rsidRDefault="00ED6E17" w:rsidP="00CC5025">
      <w:pPr>
        <w:rPr>
          <w:lang w:val="es-ES_tradnl"/>
        </w:rPr>
      </w:pPr>
      <w:r>
        <w:rPr>
          <w:lang w:val="es-ES_tradnl"/>
        </w:rPr>
        <w:t xml:space="preserve">Únicamente sabemos con certeza que los anticuerpos frente al </w:t>
      </w:r>
      <w:proofErr w:type="spellStart"/>
      <w:r>
        <w:rPr>
          <w:lang w:val="es-ES_tradnl"/>
        </w:rPr>
        <w:t>core</w:t>
      </w:r>
      <w:proofErr w:type="spellEnd"/>
      <w:r>
        <w:rPr>
          <w:lang w:val="es-ES_tradnl"/>
        </w:rPr>
        <w:t xml:space="preserve"> (antígeno c22</w:t>
      </w:r>
      <w:r>
        <w:rPr>
          <w:lang w:val="es-ES_tradnl"/>
        </w:rPr>
        <w:noBreakHyphen/>
        <w:t>c) y NS3 (c33</w:t>
      </w:r>
      <w:r>
        <w:rPr>
          <w:lang w:val="es-ES_tradnl"/>
        </w:rPr>
        <w:noBreakHyphen/>
        <w:t xml:space="preserve">c) son los primeros en aparecer en los cuadros de </w:t>
      </w:r>
      <w:proofErr w:type="spellStart"/>
      <w:r>
        <w:rPr>
          <w:lang w:val="es-ES_tradnl"/>
        </w:rPr>
        <w:t>primoinfección</w:t>
      </w:r>
      <w:proofErr w:type="spellEnd"/>
      <w:r>
        <w:rPr>
          <w:lang w:val="es-ES_tradnl"/>
        </w:rPr>
        <w:t>.</w:t>
      </w:r>
    </w:p>
    <w:p w:rsidR="00ED6E17" w:rsidRPr="007407C3" w:rsidRDefault="00ED6E17" w:rsidP="00CC5025">
      <w:pPr>
        <w:rPr>
          <w:b/>
        </w:rPr>
      </w:pPr>
      <w:r w:rsidRPr="007407C3">
        <w:rPr>
          <w:b/>
        </w:rPr>
        <w:t>MARCADORES DE INFECCION</w:t>
      </w:r>
    </w:p>
    <w:p w:rsidR="00ED6E17" w:rsidRDefault="00ED6E17" w:rsidP="00CC5025">
      <w:pPr>
        <w:rPr>
          <w:lang w:val="es-ES_tradnl"/>
        </w:rPr>
      </w:pPr>
      <w:r>
        <w:rPr>
          <w:lang w:val="es-ES_tradnl"/>
        </w:rPr>
        <w:t>Fundamentalmente son dos los parámetros que el laboratorio puede determinar:</w:t>
      </w:r>
    </w:p>
    <w:p w:rsidR="00ED6E17" w:rsidRDefault="00ED6E17" w:rsidP="00CC5025">
      <w:pPr>
        <w:rPr>
          <w:lang w:val="es-ES_tradnl"/>
        </w:rPr>
      </w:pPr>
      <w:r>
        <w:rPr>
          <w:lang w:val="es-ES_tradnl"/>
        </w:rPr>
        <w:t xml:space="preserve">* ARN viral de forma cualitativa (viremia) o cuantitativa (carga viral) </w:t>
      </w:r>
    </w:p>
    <w:p w:rsidR="00ED6E17" w:rsidRDefault="00ED6E17" w:rsidP="00CC5025">
      <w:pPr>
        <w:rPr>
          <w:lang w:val="es-ES_tradnl"/>
        </w:rPr>
      </w:pPr>
      <w:r>
        <w:rPr>
          <w:lang w:val="es-ES_tradnl"/>
        </w:rPr>
        <w:t>* Genotipo viral.</w:t>
      </w:r>
    </w:p>
    <w:p w:rsidR="00ED6E17" w:rsidRPr="007407C3" w:rsidRDefault="00ED6E17" w:rsidP="00CC5025">
      <w:pPr>
        <w:rPr>
          <w:b/>
        </w:rPr>
      </w:pPr>
      <w:r w:rsidRPr="007407C3">
        <w:rPr>
          <w:b/>
        </w:rPr>
        <w:t>DETERMINACIÓN DEL GENOTIPO DEL VHC</w:t>
      </w:r>
    </w:p>
    <w:p w:rsidR="00ED6E17" w:rsidRDefault="00ED6E17" w:rsidP="00CC5025">
      <w:pPr>
        <w:rPr>
          <w:lang w:val="es-ES_tradnl"/>
        </w:rPr>
      </w:pPr>
      <w:r>
        <w:rPr>
          <w:lang w:val="es-ES_tradnl"/>
        </w:rPr>
        <w:t xml:space="preserve">Existen diferentes procedimientos para su determinación. Cada técnica tiene sus limitaciones. Los métodos basados en la PCR de la región 5'UTR son muy </w:t>
      </w:r>
      <w:proofErr w:type="gramStart"/>
      <w:r>
        <w:rPr>
          <w:lang w:val="es-ES_tradnl"/>
        </w:rPr>
        <w:t>sensibles</w:t>
      </w:r>
      <w:proofErr w:type="gramEnd"/>
      <w:r>
        <w:rPr>
          <w:lang w:val="es-ES_tradnl"/>
        </w:rPr>
        <w:t xml:space="preserve"> pero hay que tener en </w:t>
      </w:r>
      <w:r>
        <w:rPr>
          <w:lang w:val="es-ES_tradnl"/>
        </w:rPr>
        <w:lastRenderedPageBreak/>
        <w:t xml:space="preserve">cuenta que las diferencias entre los diferentes tipos son muy sutiles. RFLP diferencia entre los </w:t>
      </w:r>
      <w:proofErr w:type="gramStart"/>
      <w:r>
        <w:rPr>
          <w:lang w:val="es-ES_tradnl"/>
        </w:rPr>
        <w:t>tipos</w:t>
      </w:r>
      <w:proofErr w:type="gramEnd"/>
      <w:r>
        <w:rPr>
          <w:lang w:val="es-ES_tradnl"/>
        </w:rPr>
        <w:t xml:space="preserve"> pero no entre algunos subtipos. La metodología de </w:t>
      </w:r>
      <w:proofErr w:type="spellStart"/>
      <w:r>
        <w:rPr>
          <w:lang w:val="es-ES_tradnl"/>
        </w:rPr>
        <w:t>Okamoto</w:t>
      </w:r>
      <w:proofErr w:type="spellEnd"/>
      <w:r>
        <w:rPr>
          <w:lang w:val="es-ES_tradnl"/>
        </w:rPr>
        <w:t xml:space="preserve"> es laboriosa etc. Las técnicas para determinar el genotipo del VHC infectante son:</w:t>
      </w:r>
    </w:p>
    <w:p w:rsidR="00ED6E17" w:rsidRPr="007407C3" w:rsidRDefault="00ED6E17" w:rsidP="00CC5025">
      <w:pPr>
        <w:rPr>
          <w:b/>
        </w:rPr>
      </w:pPr>
      <w:r w:rsidRPr="007407C3">
        <w:rPr>
          <w:b/>
        </w:rPr>
        <w:t>BASADOS EN LA PCR</w:t>
      </w:r>
    </w:p>
    <w:p w:rsidR="00ED6E17" w:rsidRDefault="00ED6E17" w:rsidP="00CC5025">
      <w:pPr>
        <w:rPr>
          <w:lang w:val="es-ES_tradnl"/>
        </w:rPr>
      </w:pPr>
      <w:r>
        <w:rPr>
          <w:lang w:val="es-ES_tradnl"/>
        </w:rPr>
        <w:t xml:space="preserve">* Secuenciación: es la </w:t>
      </w:r>
      <w:proofErr w:type="spellStart"/>
      <w:r>
        <w:rPr>
          <w:lang w:val="es-ES_tradnl"/>
        </w:rPr>
        <w:t>tÉcnica</w:t>
      </w:r>
      <w:proofErr w:type="spellEnd"/>
      <w:r>
        <w:rPr>
          <w:lang w:val="es-ES_tradnl"/>
        </w:rPr>
        <w:t xml:space="preserve"> de mayor efectividad puesto que determina      la secuencia de nucleótidos del virus infectante; sin </w:t>
      </w:r>
      <w:proofErr w:type="gramStart"/>
      <w:r>
        <w:rPr>
          <w:lang w:val="es-ES_tradnl"/>
        </w:rPr>
        <w:t xml:space="preserve">embargo,   </w:t>
      </w:r>
      <w:proofErr w:type="gramEnd"/>
      <w:r>
        <w:rPr>
          <w:lang w:val="es-ES_tradnl"/>
        </w:rPr>
        <w:t xml:space="preserve">   requiere un equipo de elevado coste que no se encuentra al alcance de todos los laboratorios de </w:t>
      </w:r>
      <w:proofErr w:type="spellStart"/>
      <w:r>
        <w:rPr>
          <w:lang w:val="es-ES_tradnl"/>
        </w:rPr>
        <w:t>MicrobiologÍa</w:t>
      </w:r>
      <w:proofErr w:type="spellEnd"/>
      <w:r>
        <w:rPr>
          <w:lang w:val="es-ES_tradnl"/>
        </w:rPr>
        <w:t xml:space="preserve"> </w:t>
      </w:r>
      <w:proofErr w:type="spellStart"/>
      <w:r>
        <w:rPr>
          <w:lang w:val="es-ES_tradnl"/>
        </w:rPr>
        <w:t>ClÍnica</w:t>
      </w:r>
      <w:proofErr w:type="spellEnd"/>
      <w:r>
        <w:rPr>
          <w:lang w:val="es-ES_tradnl"/>
        </w:rPr>
        <w:t>. Por otro lado, el procesamiento de un gran número de muestras es muy laborioso. Se analizan las diferencias en las regiones Core y NS5.</w:t>
      </w:r>
    </w:p>
    <w:p w:rsidR="00ED6E17" w:rsidRDefault="00ED6E17" w:rsidP="00CC5025">
      <w:pPr>
        <w:rPr>
          <w:lang w:val="es-ES_tradnl"/>
        </w:rPr>
      </w:pPr>
      <w:r>
        <w:rPr>
          <w:lang w:val="es-ES_tradnl"/>
        </w:rPr>
        <w:t xml:space="preserve">* PCR utilizando cebadores específicos para cada genotipo. Es un método desarrollado por </w:t>
      </w:r>
      <w:proofErr w:type="spellStart"/>
      <w:r>
        <w:rPr>
          <w:lang w:val="es-ES_tradnl"/>
        </w:rPr>
        <w:t>Okamoto</w:t>
      </w:r>
      <w:proofErr w:type="spellEnd"/>
      <w:r>
        <w:rPr>
          <w:lang w:val="es-ES_tradnl"/>
        </w:rPr>
        <w:t xml:space="preserve"> y colaboradores para determinar los genotipos 1a, 1b, 2a, 2b y, posteriormente, el 3a. El uso de cebadores específicos para cada tipo es un método sencillo para identificar los genotipos ya que se puede resolver en un gel de agarosa, identificando cada tipo por la longitud de los productos obtenidos. Sin embargo, el ensayo se puede volver demasiado complejo al intentar determinar todos los genotipos aparecidos hasta el momento. Otro problema de este método parece ser el de producir falsos positivos para infecciones mixtas. Las regiones estudiadas para esta metódica corresponden a NS5, 5'UTR, Core/E1 y Core.</w:t>
      </w:r>
    </w:p>
    <w:p w:rsidR="00ED6E17" w:rsidRDefault="00ED6E17" w:rsidP="00CC5025">
      <w:pPr>
        <w:rPr>
          <w:b/>
          <w:bCs/>
          <w:lang w:val="es-ES_tradnl"/>
        </w:rPr>
      </w:pPr>
      <w:r>
        <w:rPr>
          <w:b/>
          <w:bCs/>
          <w:lang w:val="es-ES_tradnl"/>
        </w:rPr>
        <w:t>EVOLUCION DE LOS MARCADORES</w:t>
      </w:r>
    </w:p>
    <w:p w:rsidR="00ED6E17" w:rsidRDefault="00ED6E17" w:rsidP="00CC5025">
      <w:proofErr w:type="spellStart"/>
      <w:r>
        <w:t>Primoinfección</w:t>
      </w:r>
      <w:proofErr w:type="spellEnd"/>
    </w:p>
    <w:p w:rsidR="00ED6E17" w:rsidRDefault="00ED6E17" w:rsidP="00CC5025">
      <w:pPr>
        <w:rPr>
          <w:lang w:val="es-ES_tradnl"/>
        </w:rPr>
      </w:pPr>
      <w:r>
        <w:rPr>
          <w:lang w:val="es-ES_tradnl"/>
        </w:rPr>
        <w:t xml:space="preserve">En estos casos los anticuerpos pueden hacerse detectables entre las semanas 3 o 4 </w:t>
      </w:r>
      <w:proofErr w:type="spellStart"/>
      <w:r>
        <w:rPr>
          <w:lang w:val="es-ES_tradnl"/>
        </w:rPr>
        <w:t>despuÉs</w:t>
      </w:r>
      <w:proofErr w:type="spellEnd"/>
      <w:r>
        <w:rPr>
          <w:lang w:val="es-ES_tradnl"/>
        </w:rPr>
        <w:t xml:space="preserve"> del comienzo de la </w:t>
      </w:r>
      <w:proofErr w:type="gramStart"/>
      <w:r>
        <w:rPr>
          <w:lang w:val="es-ES_tradnl"/>
        </w:rPr>
        <w:t>enfermedad</w:t>
      </w:r>
      <w:proofErr w:type="gramEnd"/>
      <w:r>
        <w:rPr>
          <w:lang w:val="es-ES_tradnl"/>
        </w:rPr>
        <w:t xml:space="preserve"> pero puede alargarse como media a las 8 semanas (depende en gran parte de la dosis infectiva que aportó el mecanismo de transmisión). </w:t>
      </w:r>
      <w:proofErr w:type="spellStart"/>
      <w:r>
        <w:rPr>
          <w:lang w:val="es-ES_tradnl"/>
        </w:rPr>
        <w:t>TambiÉn</w:t>
      </w:r>
      <w:proofErr w:type="spellEnd"/>
      <w:r>
        <w:rPr>
          <w:lang w:val="es-ES_tradnl"/>
        </w:rPr>
        <w:t xml:space="preserve"> puede detectarse </w:t>
      </w:r>
      <w:proofErr w:type="spellStart"/>
      <w:r>
        <w:rPr>
          <w:lang w:val="es-ES_tradnl"/>
        </w:rPr>
        <w:t>IgM</w:t>
      </w:r>
      <w:proofErr w:type="spellEnd"/>
      <w:r>
        <w:rPr>
          <w:lang w:val="es-ES_tradnl"/>
        </w:rPr>
        <w:t xml:space="preserve">. El título más elevado de anticuerpos suele establecerse </w:t>
      </w:r>
      <w:proofErr w:type="spellStart"/>
      <w:r>
        <w:rPr>
          <w:lang w:val="es-ES_tradnl"/>
        </w:rPr>
        <w:t>despuÉs</w:t>
      </w:r>
      <w:proofErr w:type="spellEnd"/>
      <w:r>
        <w:rPr>
          <w:lang w:val="es-ES_tradnl"/>
        </w:rPr>
        <w:t xml:space="preserve"> que lo hayan alcanzado las ALT. En esta fase los anticuerpos están dirigidos fundamentalmente contra c22, c33</w:t>
      </w:r>
      <w:r>
        <w:rPr>
          <w:lang w:val="es-ES_tradnl"/>
        </w:rPr>
        <w:noBreakHyphen/>
        <w:t>c, ambos muy antigénicos, y NS5.</w:t>
      </w:r>
    </w:p>
    <w:p w:rsidR="00ED6E17" w:rsidRDefault="00ED6E17" w:rsidP="00CC5025">
      <w:pPr>
        <w:rPr>
          <w:lang w:val="es-ES_tradnl"/>
        </w:rPr>
      </w:pPr>
      <w:r>
        <w:rPr>
          <w:lang w:val="es-ES_tradnl"/>
        </w:rPr>
        <w:t>El ARN es detectable mucho antes de la seroconversión y su concentración suele ir en incremento hasta que los anticuerpos alcanzan su meseta. Luego, si el paciente cura, desaparece rápidamente. Si evoluciona a la cronicidad su presencia puede ser o constante y con concentraciones oscilantes o intermitente con incrementos y descensos arbitrarios.</w:t>
      </w:r>
    </w:p>
    <w:p w:rsidR="00ED6E17" w:rsidRPr="00651C2D" w:rsidRDefault="00ED6E17" w:rsidP="00ED6E17">
      <w:pPr>
        <w:rPr>
          <w:sz w:val="24"/>
          <w:szCs w:val="24"/>
          <w:lang w:val="es-ES_tradnl"/>
        </w:rPr>
      </w:pPr>
      <w:r w:rsidRPr="00651C2D">
        <w:rPr>
          <w:rStyle w:val="Hypertext"/>
          <w:rFonts w:ascii="Arial" w:hAnsi="Arial" w:cs="Arial"/>
          <w:bCs w:val="0"/>
          <w:iCs/>
          <w:sz w:val="24"/>
          <w:szCs w:val="24"/>
        </w:rPr>
        <w:t>a</w:t>
      </w:r>
      <w:r w:rsidRPr="00651C2D">
        <w:rPr>
          <w:rStyle w:val="Hypertext"/>
          <w:rFonts w:ascii="Arial" w:hAnsi="Arial" w:cs="Arial"/>
          <w:bCs w:val="0"/>
          <w:iCs/>
          <w:sz w:val="24"/>
          <w:szCs w:val="24"/>
          <w:u w:val="none"/>
        </w:rPr>
        <w:t>. CURACIÓN A PARTIR DE UNA FORMA AGUDA</w:t>
      </w:r>
      <w:r w:rsidRPr="00651C2D">
        <w:rPr>
          <w:sz w:val="24"/>
          <w:szCs w:val="24"/>
          <w:lang w:val="es-ES_tradnl"/>
        </w:rPr>
        <w:t xml:space="preserve"> </w:t>
      </w:r>
      <w:r w:rsidRPr="00651C2D">
        <w:rPr>
          <w:rStyle w:val="Hypertext"/>
          <w:rFonts w:ascii="Arial" w:hAnsi="Arial" w:cs="Arial"/>
          <w:b w:val="0"/>
          <w:iCs/>
          <w:sz w:val="24"/>
          <w:szCs w:val="24"/>
          <w:lang w:val="es-ES_tradnl"/>
        </w:rPr>
        <w:t>(volver al índice)</w:t>
      </w:r>
    </w:p>
    <w:p w:rsidR="00ED6E17" w:rsidRDefault="00ED6E17" w:rsidP="00CC5025">
      <w:pPr>
        <w:jc w:val="both"/>
        <w:rPr>
          <w:lang w:val="es-ES_tradnl"/>
        </w:rPr>
      </w:pPr>
      <w:r>
        <w:rPr>
          <w:lang w:val="es-ES_tradnl"/>
        </w:rPr>
        <w:t xml:space="preserve">Los anticuerpos van disminuyendo lentamente y pueden desaparecer entre los 12 o 24 </w:t>
      </w:r>
      <w:proofErr w:type="gramStart"/>
      <w:r>
        <w:rPr>
          <w:lang w:val="es-ES_tradnl"/>
        </w:rPr>
        <w:t>meses</w:t>
      </w:r>
      <w:proofErr w:type="gramEnd"/>
      <w:r>
        <w:rPr>
          <w:lang w:val="es-ES_tradnl"/>
        </w:rPr>
        <w:t xml:space="preserve"> aunque en ocasiones persisten más de 5 años. El ARN, al cesar la replicación se </w:t>
      </w:r>
      <w:proofErr w:type="spellStart"/>
      <w:r>
        <w:rPr>
          <w:lang w:val="es-ES_tradnl"/>
        </w:rPr>
        <w:t>negativiza</w:t>
      </w:r>
      <w:proofErr w:type="spellEnd"/>
      <w:r>
        <w:rPr>
          <w:lang w:val="es-ES_tradnl"/>
        </w:rPr>
        <w:t xml:space="preserve"> persistentemente. Esto debe de constatarse mediante la realización de PCR seriadas mientras existan anticuerpos. Si los anticuerpos desaparecen debe de repetirse la prueba para confirmar la buena evolución.</w:t>
      </w:r>
    </w:p>
    <w:p w:rsidR="00ED6E17" w:rsidRDefault="00ED6E17" w:rsidP="00ED6E17">
      <w:pPr>
        <w:rPr>
          <w:lang w:val="es-ES_tradnl"/>
        </w:rPr>
      </w:pPr>
      <w:r w:rsidRPr="00651C2D">
        <w:rPr>
          <w:rStyle w:val="Hypertext"/>
          <w:rFonts w:ascii="Arial" w:hAnsi="Arial" w:cs="Arial"/>
          <w:bCs w:val="0"/>
          <w:iCs/>
          <w:sz w:val="24"/>
          <w:szCs w:val="24"/>
        </w:rPr>
        <w:t>b</w:t>
      </w:r>
      <w:r w:rsidRPr="00651C2D">
        <w:rPr>
          <w:rStyle w:val="Hypertext"/>
          <w:rFonts w:ascii="Arial" w:hAnsi="Arial" w:cs="Arial"/>
          <w:bCs w:val="0"/>
          <w:iCs/>
          <w:sz w:val="24"/>
          <w:szCs w:val="24"/>
          <w:u w:val="none"/>
        </w:rPr>
        <w:t>. CURACIÓN A PARTIR DE</w:t>
      </w:r>
      <w:r w:rsidRPr="00651C2D">
        <w:rPr>
          <w:rStyle w:val="Hypertext"/>
          <w:rFonts w:ascii="Arial" w:hAnsi="Arial" w:cs="Arial"/>
          <w:bCs w:val="0"/>
          <w:iCs/>
          <w:sz w:val="24"/>
          <w:szCs w:val="24"/>
        </w:rPr>
        <w:t xml:space="preserve"> UNA FORMA </w:t>
      </w:r>
      <w:proofErr w:type="gramStart"/>
      <w:r w:rsidRPr="00651C2D">
        <w:rPr>
          <w:rStyle w:val="Hypertext"/>
          <w:rFonts w:ascii="Arial" w:hAnsi="Arial" w:cs="Arial"/>
          <w:bCs w:val="0"/>
          <w:iCs/>
          <w:sz w:val="24"/>
          <w:szCs w:val="24"/>
        </w:rPr>
        <w:t>CRÓNICA</w:t>
      </w:r>
      <w:r>
        <w:rPr>
          <w:sz w:val="28"/>
          <w:lang w:val="es-ES_tradnl"/>
        </w:rPr>
        <w:t xml:space="preserve"> </w:t>
      </w:r>
      <w:r w:rsidR="00CC5025">
        <w:rPr>
          <w:sz w:val="28"/>
          <w:lang w:val="es-ES_tradnl"/>
        </w:rPr>
        <w:t xml:space="preserve"> </w:t>
      </w:r>
      <w:r>
        <w:rPr>
          <w:rStyle w:val="Hypertext"/>
          <w:rFonts w:ascii="Arial" w:hAnsi="Arial" w:cs="Arial"/>
          <w:i/>
          <w:iCs/>
          <w:lang w:val="es-ES_tradnl"/>
        </w:rPr>
        <w:t>(</w:t>
      </w:r>
      <w:proofErr w:type="gramEnd"/>
      <w:r>
        <w:rPr>
          <w:rStyle w:val="Hypertext"/>
          <w:rFonts w:ascii="Arial" w:hAnsi="Arial" w:cs="Arial"/>
          <w:i/>
          <w:iCs/>
          <w:lang w:val="es-ES_tradnl"/>
        </w:rPr>
        <w:t>volver al índice)</w:t>
      </w:r>
    </w:p>
    <w:p w:rsidR="00ED6E17" w:rsidRDefault="00ED6E17" w:rsidP="00CC5025">
      <w:pPr>
        <w:rPr>
          <w:lang w:val="es-ES_tradnl"/>
        </w:rPr>
      </w:pPr>
      <w:r>
        <w:rPr>
          <w:lang w:val="es-ES_tradnl"/>
        </w:rPr>
        <w:t xml:space="preserve">En los pacientes que curan en esta fase siguen manteniendo la reactividad frente a c22 y c33c indefinidamente. Se desconoce el motivo de esta persistencia que puede ser debida a la larga estimulación antigénica que supuso esta forma de enfermedad. El ARN igualmente es el primer marcador que se </w:t>
      </w:r>
      <w:proofErr w:type="spellStart"/>
      <w:r>
        <w:rPr>
          <w:lang w:val="es-ES_tradnl"/>
        </w:rPr>
        <w:t>negativiza</w:t>
      </w:r>
      <w:proofErr w:type="spellEnd"/>
      <w:r>
        <w:rPr>
          <w:lang w:val="es-ES_tradnl"/>
        </w:rPr>
        <w:t xml:space="preserve"> siendo necesaria la monitorización de esta prueba. En el caso de los pacientes tratados la persistencia de ARN, a títulos similares a los iniciales, es indicio de la poca eficacia de aquel. </w:t>
      </w:r>
    </w:p>
    <w:p w:rsidR="00ED6E17" w:rsidRDefault="00ED6E17" w:rsidP="00CC5025">
      <w:pPr>
        <w:rPr>
          <w:lang w:val="es-ES_tradnl"/>
        </w:rPr>
      </w:pPr>
      <w:r>
        <w:rPr>
          <w:lang w:val="es-ES_tradnl"/>
        </w:rPr>
        <w:lastRenderedPageBreak/>
        <w:t xml:space="preserve">Si transcurridos 2 meses la situación persiste deberá reevaluarse la </w:t>
      </w:r>
      <w:proofErr w:type="spellStart"/>
      <w:r>
        <w:rPr>
          <w:lang w:val="es-ES_tradnl"/>
        </w:rPr>
        <w:t>terapé</w:t>
      </w:r>
      <w:r>
        <w:rPr>
          <w:lang w:val="es-ES_tradnl"/>
        </w:rPr>
        <w:t>tica</w:t>
      </w:r>
      <w:proofErr w:type="spellEnd"/>
      <w:r>
        <w:rPr>
          <w:lang w:val="es-ES_tradnl"/>
        </w:rPr>
        <w:t xml:space="preserve">. Una vez finalizado el tratamiento con respuesta aparente (aclaramiento del ARN) el paciente deberá ser monitorizado hasta al menos 6 </w:t>
      </w:r>
      <w:proofErr w:type="spellStart"/>
      <w:r>
        <w:rPr>
          <w:lang w:val="es-ES_tradnl"/>
        </w:rPr>
        <w:t>ó</w:t>
      </w:r>
      <w:proofErr w:type="spellEnd"/>
      <w:r>
        <w:rPr>
          <w:lang w:val="es-ES_tradnl"/>
        </w:rPr>
        <w:t xml:space="preserve"> 12 meses.</w:t>
      </w:r>
    </w:p>
    <w:p w:rsidR="00ED6E17" w:rsidRDefault="00ED6E17" w:rsidP="00ED6E17">
      <w:pPr>
        <w:rPr>
          <w:lang w:val="es-ES_tradnl"/>
        </w:rPr>
      </w:pPr>
      <w:r w:rsidRPr="00651C2D">
        <w:rPr>
          <w:rStyle w:val="Hypertext"/>
          <w:rFonts w:ascii="Arial" w:hAnsi="Arial" w:cs="Arial"/>
          <w:bCs w:val="0"/>
          <w:iCs/>
          <w:sz w:val="24"/>
          <w:szCs w:val="24"/>
        </w:rPr>
        <w:t>c</w:t>
      </w:r>
      <w:r w:rsidRPr="00651C2D">
        <w:rPr>
          <w:rStyle w:val="Hypertext"/>
          <w:rFonts w:ascii="Arial" w:hAnsi="Arial" w:cs="Arial"/>
          <w:bCs w:val="0"/>
          <w:iCs/>
          <w:sz w:val="24"/>
          <w:szCs w:val="24"/>
          <w:u w:val="none"/>
        </w:rPr>
        <w:t>. CRONICIDAD</w:t>
      </w:r>
      <w:r>
        <w:rPr>
          <w:sz w:val="28"/>
          <w:lang w:val="es-ES_tradnl"/>
        </w:rPr>
        <w:t xml:space="preserve"> </w:t>
      </w:r>
      <w:r>
        <w:rPr>
          <w:rStyle w:val="Hypertext"/>
          <w:rFonts w:ascii="Arial" w:hAnsi="Arial" w:cs="Arial"/>
          <w:i/>
          <w:iCs/>
          <w:lang w:val="es-ES_tradnl"/>
        </w:rPr>
        <w:t>(volver al índice)</w:t>
      </w:r>
    </w:p>
    <w:p w:rsidR="00ED6E17" w:rsidRDefault="00ED6E17" w:rsidP="00ED6E17">
      <w:pPr>
        <w:ind w:firstLine="567"/>
        <w:jc w:val="both"/>
        <w:rPr>
          <w:lang w:val="es-ES_tradnl"/>
        </w:rPr>
      </w:pPr>
      <w:r>
        <w:rPr>
          <w:lang w:val="es-ES_tradnl"/>
        </w:rPr>
        <w:t xml:space="preserve">En esta forma de enfermedad la persistencia de los anticuerpos con cualquier patrón de respuesta, incluso con pruebas confirmatorias indeterminadas, son posibles. El ARN igualmente puede tener comportamientos imprevisibles alternando fases de gran concentración con otras de silencio. </w:t>
      </w:r>
    </w:p>
    <w:p w:rsidR="00ED6E17" w:rsidRDefault="00ED6E17" w:rsidP="00F57E36">
      <w:pPr>
        <w:jc w:val="both"/>
        <w:rPr>
          <w:lang w:val="es-ES_tradnl"/>
        </w:rPr>
      </w:pPr>
      <w:r>
        <w:rPr>
          <w:lang w:val="es-ES_tradnl"/>
        </w:rPr>
        <w:t xml:space="preserve">En estos casos ALT son marcadores muy útiles en el seguimiento. </w:t>
      </w:r>
    </w:p>
    <w:p w:rsidR="00ED6E17" w:rsidRDefault="00ED6E17" w:rsidP="00ED6E17">
      <w:pPr>
        <w:rPr>
          <w:lang w:val="es-ES_tradnl"/>
        </w:rPr>
      </w:pPr>
      <w:r w:rsidRPr="00F4378D">
        <w:rPr>
          <w:rStyle w:val="Hypertext"/>
          <w:rFonts w:ascii="Arial" w:hAnsi="Arial" w:cs="Arial"/>
          <w:iCs/>
          <w:sz w:val="32"/>
          <w:szCs w:val="32"/>
          <w:u w:val="none"/>
        </w:rPr>
        <w:t>5. BIBLIOGRAFIA RECOMENDADA</w:t>
      </w:r>
      <w:r>
        <w:rPr>
          <w:rStyle w:val="Hypertext"/>
          <w:rFonts w:ascii="Arial" w:hAnsi="Arial" w:cs="Arial"/>
          <w:iCs/>
          <w:sz w:val="32"/>
          <w:szCs w:val="32"/>
        </w:rPr>
        <w:t xml:space="preserve"> </w:t>
      </w:r>
      <w:r>
        <w:rPr>
          <w:rStyle w:val="Hypertext"/>
          <w:rFonts w:ascii="Arial" w:hAnsi="Arial" w:cs="Arial"/>
          <w:i/>
          <w:iCs/>
          <w:lang w:val="es-ES_tradnl"/>
        </w:rPr>
        <w:t>(volver al índice)</w:t>
      </w:r>
    </w:p>
    <w:p w:rsidR="00ED6E17" w:rsidRDefault="00ED6E17" w:rsidP="00ED6E17">
      <w:pPr>
        <w:jc w:val="both"/>
        <w:rPr>
          <w:lang w:val="en-GB"/>
        </w:rPr>
      </w:pPr>
      <w:r>
        <w:rPr>
          <w:lang w:val="en-GB"/>
        </w:rPr>
        <w:t xml:space="preserve">Coo QL, </w:t>
      </w:r>
      <w:proofErr w:type="spellStart"/>
      <w:r>
        <w:rPr>
          <w:lang w:val="en-GB"/>
        </w:rPr>
        <w:t>Kuo</w:t>
      </w:r>
      <w:proofErr w:type="spellEnd"/>
      <w:r>
        <w:rPr>
          <w:lang w:val="en-GB"/>
        </w:rPr>
        <w:t xml:space="preserve"> G, Weiner AJ, </w:t>
      </w:r>
      <w:proofErr w:type="spellStart"/>
      <w:r>
        <w:rPr>
          <w:lang w:val="en-GB"/>
        </w:rPr>
        <w:t>Overby</w:t>
      </w:r>
      <w:proofErr w:type="spellEnd"/>
      <w:r>
        <w:rPr>
          <w:lang w:val="en-GB"/>
        </w:rPr>
        <w:t xml:space="preserve"> </w:t>
      </w:r>
      <w:proofErr w:type="spellStart"/>
      <w:r>
        <w:rPr>
          <w:lang w:val="en-GB"/>
        </w:rPr>
        <w:t>Lr</w:t>
      </w:r>
      <w:proofErr w:type="spellEnd"/>
      <w:r>
        <w:rPr>
          <w:lang w:val="en-GB"/>
        </w:rPr>
        <w:t xml:space="preserve"> Bradley DW, Houghton M. Isolation of a cDNA clone derived from a blood</w:t>
      </w:r>
      <w:r>
        <w:rPr>
          <w:lang w:val="en-GB"/>
        </w:rPr>
        <w:noBreakHyphen/>
        <w:t>borne non</w:t>
      </w:r>
      <w:r>
        <w:rPr>
          <w:lang w:val="en-GB"/>
        </w:rPr>
        <w:noBreakHyphen/>
        <w:t>A non</w:t>
      </w:r>
      <w:r>
        <w:rPr>
          <w:lang w:val="en-GB"/>
        </w:rPr>
        <w:noBreakHyphen/>
        <w:t>B hepatitis genome. 1989.</w:t>
      </w:r>
    </w:p>
    <w:p w:rsidR="00ED6E17" w:rsidRDefault="00ED6E17" w:rsidP="00ED6E17">
      <w:pPr>
        <w:jc w:val="both"/>
        <w:rPr>
          <w:lang w:val="en-GB"/>
        </w:rPr>
      </w:pPr>
      <w:r>
        <w:rPr>
          <w:lang w:val="en-GB"/>
        </w:rPr>
        <w:t xml:space="preserve">Science. </w:t>
      </w:r>
      <w:proofErr w:type="gramStart"/>
      <w:r>
        <w:rPr>
          <w:lang w:val="en-GB"/>
        </w:rPr>
        <w:t>244</w:t>
      </w:r>
      <w:proofErr w:type="gramEnd"/>
      <w:r>
        <w:rPr>
          <w:lang w:val="en-GB"/>
        </w:rPr>
        <w:t>:359</w:t>
      </w:r>
      <w:r>
        <w:rPr>
          <w:lang w:val="en-GB"/>
        </w:rPr>
        <w:noBreakHyphen/>
        <w:t>362.</w:t>
      </w:r>
    </w:p>
    <w:p w:rsidR="00ED6E17" w:rsidRDefault="00ED6E17" w:rsidP="00ED6E17">
      <w:pPr>
        <w:jc w:val="both"/>
        <w:rPr>
          <w:lang w:val="en-GB"/>
        </w:rPr>
      </w:pPr>
      <w:r>
        <w:rPr>
          <w:lang w:val="en-GB"/>
        </w:rPr>
        <w:t xml:space="preserve">Alter HJ, Purcell RH Shih JW. Detection of antibody to hepatitis C virus in </w:t>
      </w:r>
      <w:proofErr w:type="spellStart"/>
      <w:proofErr w:type="gramStart"/>
      <w:r>
        <w:rPr>
          <w:lang w:val="en-GB"/>
        </w:rPr>
        <w:t>prospectyvely</w:t>
      </w:r>
      <w:proofErr w:type="spellEnd"/>
      <w:r>
        <w:rPr>
          <w:lang w:val="en-GB"/>
        </w:rPr>
        <w:t xml:space="preserve"> </w:t>
      </w:r>
      <w:proofErr w:type="spellStart"/>
      <w:r>
        <w:rPr>
          <w:lang w:val="en-GB"/>
        </w:rPr>
        <w:t>folowed</w:t>
      </w:r>
      <w:proofErr w:type="spellEnd"/>
      <w:r>
        <w:rPr>
          <w:lang w:val="en-GB"/>
        </w:rPr>
        <w:t xml:space="preserve"> transfusion recipients</w:t>
      </w:r>
      <w:proofErr w:type="gramEnd"/>
      <w:r>
        <w:rPr>
          <w:lang w:val="en-GB"/>
        </w:rPr>
        <w:t xml:space="preserve"> with acute and chronic non</w:t>
      </w:r>
      <w:r>
        <w:rPr>
          <w:lang w:val="en-GB"/>
        </w:rPr>
        <w:noBreakHyphen/>
        <w:t>Anon</w:t>
      </w:r>
      <w:r>
        <w:rPr>
          <w:lang w:val="en-GB"/>
        </w:rPr>
        <w:noBreakHyphen/>
        <w:t xml:space="preserve">B hepatitis. 1989. New </w:t>
      </w:r>
      <w:proofErr w:type="spellStart"/>
      <w:r>
        <w:rPr>
          <w:lang w:val="en-GB"/>
        </w:rPr>
        <w:t>Eng</w:t>
      </w:r>
      <w:proofErr w:type="spellEnd"/>
      <w:r>
        <w:rPr>
          <w:lang w:val="en-GB"/>
        </w:rPr>
        <w:t xml:space="preserve"> J Med. 321:1494</w:t>
      </w:r>
      <w:r>
        <w:rPr>
          <w:lang w:val="en-GB"/>
        </w:rPr>
        <w:noBreakHyphen/>
        <w:t>1500.</w:t>
      </w:r>
    </w:p>
    <w:p w:rsidR="00ED6E17" w:rsidRDefault="00ED6E17" w:rsidP="00ED6E17">
      <w:pPr>
        <w:jc w:val="both"/>
        <w:rPr>
          <w:lang w:val="en-GB"/>
        </w:rPr>
      </w:pPr>
      <w:r>
        <w:rPr>
          <w:lang w:val="en-GB"/>
        </w:rPr>
        <w:t xml:space="preserve">Choo QL, Richman KH, Han JH. Genetic organization and diversity of the hepatitis C virus. 1991. </w:t>
      </w:r>
      <w:proofErr w:type="spellStart"/>
      <w:r>
        <w:rPr>
          <w:lang w:val="en-GB"/>
        </w:rPr>
        <w:t>Proc</w:t>
      </w:r>
      <w:proofErr w:type="spellEnd"/>
      <w:r>
        <w:rPr>
          <w:lang w:val="en-GB"/>
        </w:rPr>
        <w:t xml:space="preserve"> Nat </w:t>
      </w:r>
      <w:proofErr w:type="spellStart"/>
      <w:r>
        <w:rPr>
          <w:lang w:val="en-GB"/>
        </w:rPr>
        <w:t>Acad</w:t>
      </w:r>
      <w:proofErr w:type="spellEnd"/>
      <w:r>
        <w:rPr>
          <w:lang w:val="en-GB"/>
        </w:rPr>
        <w:t xml:space="preserve"> </w:t>
      </w:r>
      <w:proofErr w:type="spellStart"/>
      <w:r>
        <w:rPr>
          <w:lang w:val="en-GB"/>
        </w:rPr>
        <w:t>Sci</w:t>
      </w:r>
      <w:proofErr w:type="spellEnd"/>
      <w:r>
        <w:rPr>
          <w:lang w:val="en-GB"/>
        </w:rPr>
        <w:t xml:space="preserve"> USA. </w:t>
      </w:r>
      <w:proofErr w:type="gramStart"/>
      <w:r>
        <w:rPr>
          <w:lang w:val="en-GB"/>
        </w:rPr>
        <w:t>88</w:t>
      </w:r>
      <w:proofErr w:type="gramEnd"/>
      <w:r>
        <w:rPr>
          <w:lang w:val="en-GB"/>
        </w:rPr>
        <w:t>:2451</w:t>
      </w:r>
      <w:r>
        <w:rPr>
          <w:lang w:val="en-GB"/>
        </w:rPr>
        <w:noBreakHyphen/>
        <w:t>2455.</w:t>
      </w:r>
    </w:p>
    <w:p w:rsidR="00ED6E17" w:rsidRDefault="00ED6E17" w:rsidP="00ED6E17">
      <w:pPr>
        <w:jc w:val="both"/>
        <w:rPr>
          <w:lang w:val="en-GB"/>
        </w:rPr>
      </w:pPr>
      <w:r>
        <w:rPr>
          <w:lang w:val="en-GB"/>
        </w:rPr>
        <w:t xml:space="preserve">Takamizawa A, Mori C, </w:t>
      </w:r>
      <w:proofErr w:type="spellStart"/>
      <w:r>
        <w:rPr>
          <w:lang w:val="en-GB"/>
        </w:rPr>
        <w:t>Fuke</w:t>
      </w:r>
      <w:proofErr w:type="spellEnd"/>
      <w:r>
        <w:rPr>
          <w:lang w:val="en-GB"/>
        </w:rPr>
        <w:t xml:space="preserve"> I, </w:t>
      </w:r>
      <w:proofErr w:type="spellStart"/>
      <w:r>
        <w:rPr>
          <w:lang w:val="en-GB"/>
        </w:rPr>
        <w:t>Manabe</w:t>
      </w:r>
      <w:proofErr w:type="spellEnd"/>
      <w:r>
        <w:rPr>
          <w:lang w:val="en-GB"/>
        </w:rPr>
        <w:t xml:space="preserve"> S, Murakami S, Fujita J, </w:t>
      </w:r>
      <w:proofErr w:type="spellStart"/>
      <w:r>
        <w:rPr>
          <w:lang w:val="en-GB"/>
        </w:rPr>
        <w:t>Onishi</w:t>
      </w:r>
      <w:proofErr w:type="spellEnd"/>
      <w:r>
        <w:rPr>
          <w:lang w:val="en-GB"/>
        </w:rPr>
        <w:t xml:space="preserve"> E. Structure and organization of the hepatitis C virus Genome Isolated from human carriers. 1991. J </w:t>
      </w:r>
      <w:proofErr w:type="spellStart"/>
      <w:r>
        <w:rPr>
          <w:lang w:val="en-GB"/>
        </w:rPr>
        <w:t>Virol</w:t>
      </w:r>
      <w:proofErr w:type="spellEnd"/>
      <w:r>
        <w:rPr>
          <w:lang w:val="en-GB"/>
        </w:rPr>
        <w:t xml:space="preserve">. </w:t>
      </w:r>
      <w:proofErr w:type="gramStart"/>
      <w:r>
        <w:rPr>
          <w:lang w:val="en-GB"/>
        </w:rPr>
        <w:t>65</w:t>
      </w:r>
      <w:proofErr w:type="gramEnd"/>
      <w:r>
        <w:rPr>
          <w:lang w:val="en-GB"/>
        </w:rPr>
        <w:t>:1105</w:t>
      </w:r>
      <w:r>
        <w:rPr>
          <w:lang w:val="en-GB"/>
        </w:rPr>
        <w:noBreakHyphen/>
        <w:t>1113.</w:t>
      </w:r>
    </w:p>
    <w:p w:rsidR="00ED6E17" w:rsidRDefault="00ED6E17" w:rsidP="00ED6E17">
      <w:pPr>
        <w:jc w:val="both"/>
        <w:rPr>
          <w:lang w:val="en-GB"/>
        </w:rPr>
      </w:pPr>
      <w:r>
        <w:rPr>
          <w:lang w:val="en-GB"/>
        </w:rPr>
        <w:t xml:space="preserve">Cambers TJ, Hahn CS, </w:t>
      </w:r>
      <w:proofErr w:type="spellStart"/>
      <w:proofErr w:type="gramStart"/>
      <w:r>
        <w:rPr>
          <w:lang w:val="en-GB"/>
        </w:rPr>
        <w:t>Galler</w:t>
      </w:r>
      <w:proofErr w:type="spellEnd"/>
      <w:proofErr w:type="gramEnd"/>
      <w:r>
        <w:rPr>
          <w:lang w:val="en-GB"/>
        </w:rPr>
        <w:t xml:space="preserve"> R, Rice CM. </w:t>
      </w:r>
      <w:proofErr w:type="spellStart"/>
      <w:r>
        <w:rPr>
          <w:lang w:val="en-GB"/>
        </w:rPr>
        <w:t>Flavivirus</w:t>
      </w:r>
      <w:proofErr w:type="spellEnd"/>
      <w:r>
        <w:rPr>
          <w:lang w:val="en-GB"/>
        </w:rPr>
        <w:t xml:space="preserve"> genome organization, </w:t>
      </w:r>
      <w:proofErr w:type="spellStart"/>
      <w:r>
        <w:rPr>
          <w:lang w:val="en-GB"/>
        </w:rPr>
        <w:t>expresion</w:t>
      </w:r>
      <w:proofErr w:type="spellEnd"/>
      <w:r>
        <w:rPr>
          <w:lang w:val="en-GB"/>
        </w:rPr>
        <w:t xml:space="preserve"> and replication. 1990. </w:t>
      </w:r>
      <w:proofErr w:type="spellStart"/>
      <w:r>
        <w:rPr>
          <w:lang w:val="en-GB"/>
        </w:rPr>
        <w:t>Annu</w:t>
      </w:r>
      <w:proofErr w:type="spellEnd"/>
      <w:r>
        <w:rPr>
          <w:lang w:val="en-GB"/>
        </w:rPr>
        <w:t xml:space="preserve"> Rev </w:t>
      </w:r>
      <w:proofErr w:type="spellStart"/>
      <w:r>
        <w:rPr>
          <w:lang w:val="en-GB"/>
        </w:rPr>
        <w:t>Microbiol</w:t>
      </w:r>
      <w:proofErr w:type="spellEnd"/>
      <w:r>
        <w:rPr>
          <w:lang w:val="en-GB"/>
        </w:rPr>
        <w:t xml:space="preserve">. </w:t>
      </w:r>
      <w:proofErr w:type="gramStart"/>
      <w:r>
        <w:rPr>
          <w:lang w:val="en-GB"/>
        </w:rPr>
        <w:t>44</w:t>
      </w:r>
      <w:proofErr w:type="gramEnd"/>
      <w:r>
        <w:rPr>
          <w:lang w:val="en-GB"/>
        </w:rPr>
        <w:t>:649</w:t>
      </w:r>
      <w:r>
        <w:rPr>
          <w:lang w:val="en-GB"/>
        </w:rPr>
        <w:noBreakHyphen/>
        <w:t>688.</w:t>
      </w:r>
    </w:p>
    <w:p w:rsidR="00ED6E17" w:rsidRDefault="00ED6E17" w:rsidP="00ED6E17">
      <w:pPr>
        <w:jc w:val="both"/>
        <w:rPr>
          <w:lang w:val="en-GB"/>
        </w:rPr>
      </w:pPr>
      <w:r>
        <w:rPr>
          <w:lang w:val="en-GB"/>
        </w:rPr>
        <w:t xml:space="preserve">Choo QL, Weiner AJ, </w:t>
      </w:r>
      <w:proofErr w:type="spellStart"/>
      <w:r>
        <w:rPr>
          <w:lang w:val="en-GB"/>
        </w:rPr>
        <w:t>Overby</w:t>
      </w:r>
      <w:proofErr w:type="spellEnd"/>
      <w:r>
        <w:rPr>
          <w:lang w:val="en-GB"/>
        </w:rPr>
        <w:t xml:space="preserve"> LR, </w:t>
      </w:r>
      <w:proofErr w:type="spellStart"/>
      <w:r>
        <w:rPr>
          <w:lang w:val="en-GB"/>
        </w:rPr>
        <w:t>Kuo</w:t>
      </w:r>
      <w:proofErr w:type="spellEnd"/>
      <w:r>
        <w:rPr>
          <w:lang w:val="en-GB"/>
        </w:rPr>
        <w:t xml:space="preserve"> G, Houghton M, Bradley DW</w:t>
      </w:r>
      <w:proofErr w:type="gramStart"/>
      <w:r>
        <w:rPr>
          <w:lang w:val="en-GB"/>
        </w:rPr>
        <w:t>,.</w:t>
      </w:r>
      <w:proofErr w:type="gramEnd"/>
      <w:r>
        <w:rPr>
          <w:lang w:val="en-GB"/>
        </w:rPr>
        <w:t xml:space="preserve"> Hepatitis C virus: the mayor causative agent of viral non</w:t>
      </w:r>
      <w:r>
        <w:rPr>
          <w:lang w:val="en-GB"/>
        </w:rPr>
        <w:noBreakHyphen/>
        <w:t>A non</w:t>
      </w:r>
      <w:r>
        <w:rPr>
          <w:lang w:val="en-GB"/>
        </w:rPr>
        <w:noBreakHyphen/>
        <w:t>B hepatitis. 1990</w:t>
      </w:r>
      <w:proofErr w:type="gramStart"/>
      <w:r>
        <w:rPr>
          <w:lang w:val="en-GB"/>
        </w:rPr>
        <w:t>.Br</w:t>
      </w:r>
      <w:proofErr w:type="gramEnd"/>
      <w:r>
        <w:rPr>
          <w:lang w:val="en-GB"/>
        </w:rPr>
        <w:t xml:space="preserve"> Med Bull.46:423</w:t>
      </w:r>
      <w:r>
        <w:rPr>
          <w:lang w:val="en-GB"/>
        </w:rPr>
        <w:noBreakHyphen/>
        <w:t>441.</w:t>
      </w:r>
    </w:p>
    <w:p w:rsidR="00ED6E17" w:rsidRDefault="00ED6E17" w:rsidP="00ED6E17">
      <w:pPr>
        <w:jc w:val="both"/>
        <w:rPr>
          <w:lang w:val="en-GB"/>
        </w:rPr>
      </w:pPr>
      <w:proofErr w:type="spellStart"/>
      <w:r>
        <w:rPr>
          <w:lang w:val="en-GB"/>
        </w:rPr>
        <w:t>Bukh</w:t>
      </w:r>
      <w:proofErr w:type="spellEnd"/>
      <w:r>
        <w:rPr>
          <w:lang w:val="en-GB"/>
        </w:rPr>
        <w:t xml:space="preserve"> J, Purcell RH, Miller RH. Sequence analysis of the 5' noncoding region</w:t>
      </w:r>
    </w:p>
    <w:p w:rsidR="00ED6E17" w:rsidRPr="003F1940" w:rsidRDefault="00ED6E17" w:rsidP="00ED6E17">
      <w:pPr>
        <w:jc w:val="both"/>
        <w:rPr>
          <w:lang w:val="en-US"/>
        </w:rPr>
      </w:pPr>
      <w:proofErr w:type="gramStart"/>
      <w:r>
        <w:rPr>
          <w:lang w:val="en-GB"/>
        </w:rPr>
        <w:t>of</w:t>
      </w:r>
      <w:proofErr w:type="gramEnd"/>
      <w:r>
        <w:rPr>
          <w:lang w:val="en-GB"/>
        </w:rPr>
        <w:t xml:space="preserve"> hepatitis C virus. </w:t>
      </w:r>
      <w:r w:rsidRPr="003F1940">
        <w:rPr>
          <w:lang w:val="en-US"/>
        </w:rPr>
        <w:t xml:space="preserve">1992. </w:t>
      </w:r>
      <w:proofErr w:type="spellStart"/>
      <w:r w:rsidRPr="003F1940">
        <w:rPr>
          <w:lang w:val="en-US"/>
        </w:rPr>
        <w:t>Proc</w:t>
      </w:r>
      <w:proofErr w:type="spellEnd"/>
      <w:r w:rsidRPr="003F1940">
        <w:rPr>
          <w:lang w:val="en-US"/>
        </w:rPr>
        <w:t xml:space="preserve"> Natl </w:t>
      </w:r>
      <w:proofErr w:type="spellStart"/>
      <w:r w:rsidRPr="003F1940">
        <w:rPr>
          <w:lang w:val="en-US"/>
        </w:rPr>
        <w:t>Acd</w:t>
      </w:r>
      <w:proofErr w:type="spellEnd"/>
      <w:r w:rsidRPr="003F1940">
        <w:rPr>
          <w:lang w:val="en-US"/>
        </w:rPr>
        <w:t xml:space="preserve"> </w:t>
      </w:r>
      <w:proofErr w:type="spellStart"/>
      <w:r w:rsidRPr="003F1940">
        <w:rPr>
          <w:lang w:val="en-US"/>
        </w:rPr>
        <w:t>Sci</w:t>
      </w:r>
      <w:proofErr w:type="spellEnd"/>
      <w:r w:rsidRPr="003F1940">
        <w:rPr>
          <w:lang w:val="en-US"/>
        </w:rPr>
        <w:t xml:space="preserve"> USA. </w:t>
      </w:r>
      <w:proofErr w:type="gramStart"/>
      <w:r w:rsidRPr="003F1940">
        <w:rPr>
          <w:lang w:val="en-US"/>
        </w:rPr>
        <w:t>89</w:t>
      </w:r>
      <w:proofErr w:type="gramEnd"/>
      <w:r w:rsidRPr="003F1940">
        <w:rPr>
          <w:lang w:val="en-US"/>
        </w:rPr>
        <w:t>:4942</w:t>
      </w:r>
      <w:r w:rsidRPr="003F1940">
        <w:rPr>
          <w:lang w:val="en-US"/>
        </w:rPr>
        <w:noBreakHyphen/>
        <w:t>4946.</w:t>
      </w:r>
    </w:p>
    <w:p w:rsidR="00ED6E17" w:rsidRDefault="00ED6E17" w:rsidP="00ED6E17">
      <w:pPr>
        <w:jc w:val="both"/>
        <w:rPr>
          <w:lang w:val="en-GB"/>
        </w:rPr>
      </w:pPr>
      <w:r>
        <w:rPr>
          <w:lang w:val="en-GB"/>
        </w:rPr>
        <w:t xml:space="preserve">Houghton M, Weiner A, Han J, </w:t>
      </w:r>
      <w:proofErr w:type="spellStart"/>
      <w:r>
        <w:rPr>
          <w:lang w:val="en-GB"/>
        </w:rPr>
        <w:t>Kuo</w:t>
      </w:r>
      <w:proofErr w:type="spellEnd"/>
      <w:r>
        <w:rPr>
          <w:lang w:val="en-GB"/>
        </w:rPr>
        <w:t xml:space="preserve"> G, Choo QL. Molecular Biology of the Hepatitis C viruses: Implications for diagnosis, development and control of viral disease. 1991. </w:t>
      </w:r>
      <w:proofErr w:type="spellStart"/>
      <w:r>
        <w:rPr>
          <w:lang w:val="en-GB"/>
        </w:rPr>
        <w:t>Hepatology</w:t>
      </w:r>
      <w:proofErr w:type="spellEnd"/>
      <w:r>
        <w:rPr>
          <w:lang w:val="en-GB"/>
        </w:rPr>
        <w:t xml:space="preserve">. </w:t>
      </w:r>
      <w:proofErr w:type="gramStart"/>
      <w:r>
        <w:rPr>
          <w:lang w:val="en-GB"/>
        </w:rPr>
        <w:t>2:</w:t>
      </w:r>
      <w:proofErr w:type="gramEnd"/>
      <w:r>
        <w:rPr>
          <w:lang w:val="en-GB"/>
        </w:rPr>
        <w:t>381</w:t>
      </w:r>
      <w:r>
        <w:rPr>
          <w:lang w:val="en-GB"/>
        </w:rPr>
        <w:noBreakHyphen/>
        <w:t>389.</w:t>
      </w:r>
    </w:p>
    <w:p w:rsidR="00ED6E17" w:rsidRDefault="00ED6E17" w:rsidP="00ED6E17">
      <w:pPr>
        <w:jc w:val="both"/>
        <w:rPr>
          <w:lang w:val="en-GB"/>
        </w:rPr>
      </w:pPr>
      <w:proofErr w:type="spellStart"/>
      <w:r>
        <w:rPr>
          <w:lang w:val="en-GB"/>
        </w:rPr>
        <w:t>Rizzetto</w:t>
      </w:r>
      <w:proofErr w:type="spellEnd"/>
      <w:r>
        <w:rPr>
          <w:lang w:val="en-GB"/>
        </w:rPr>
        <w:t xml:space="preserve"> </w:t>
      </w:r>
      <w:proofErr w:type="spellStart"/>
      <w:r>
        <w:rPr>
          <w:lang w:val="en-GB"/>
        </w:rPr>
        <w:t>M,Feinstone</w:t>
      </w:r>
      <w:proofErr w:type="spellEnd"/>
      <w:r>
        <w:rPr>
          <w:lang w:val="en-GB"/>
        </w:rPr>
        <w:t xml:space="preserve"> SM, Bonino F, </w:t>
      </w:r>
      <w:proofErr w:type="spellStart"/>
      <w:r>
        <w:rPr>
          <w:lang w:val="en-GB"/>
        </w:rPr>
        <w:t>Brunnetto</w:t>
      </w:r>
      <w:proofErr w:type="spellEnd"/>
      <w:r>
        <w:rPr>
          <w:lang w:val="en-GB"/>
        </w:rPr>
        <w:t xml:space="preserve"> MR, </w:t>
      </w:r>
      <w:proofErr w:type="spellStart"/>
      <w:r>
        <w:rPr>
          <w:lang w:val="en-GB"/>
        </w:rPr>
        <w:t>baldi</w:t>
      </w:r>
      <w:proofErr w:type="spellEnd"/>
      <w:r>
        <w:rPr>
          <w:lang w:val="en-GB"/>
        </w:rPr>
        <w:t xml:space="preserve"> M, </w:t>
      </w:r>
      <w:proofErr w:type="spellStart"/>
      <w:r>
        <w:rPr>
          <w:lang w:val="en-GB"/>
        </w:rPr>
        <w:t>Rassam</w:t>
      </w:r>
      <w:proofErr w:type="spellEnd"/>
      <w:r>
        <w:rPr>
          <w:lang w:val="en-GB"/>
        </w:rPr>
        <w:t xml:space="preserve"> SW, </w:t>
      </w:r>
      <w:proofErr w:type="spellStart"/>
      <w:r w:rsidRPr="003F1940">
        <w:rPr>
          <w:lang w:val="en-GB"/>
        </w:rPr>
        <w:t>Dusheiko</w:t>
      </w:r>
      <w:proofErr w:type="spellEnd"/>
      <w:r w:rsidRPr="003F1940">
        <w:rPr>
          <w:lang w:val="en-GB"/>
        </w:rPr>
        <w:t xml:space="preserve"> GM, </w:t>
      </w:r>
      <w:proofErr w:type="spellStart"/>
      <w:r w:rsidRPr="003F1940">
        <w:rPr>
          <w:lang w:val="en-GB"/>
        </w:rPr>
        <w:t>Genesca</w:t>
      </w:r>
      <w:proofErr w:type="spellEnd"/>
      <w:r w:rsidRPr="003F1940">
        <w:rPr>
          <w:lang w:val="en-GB"/>
        </w:rPr>
        <w:t xml:space="preserve"> J, Esteban JL, Esteban R, Vander </w:t>
      </w:r>
      <w:proofErr w:type="spellStart"/>
      <w:r w:rsidRPr="003F1940">
        <w:rPr>
          <w:lang w:val="en-GB"/>
        </w:rPr>
        <w:t>Poel</w:t>
      </w:r>
      <w:proofErr w:type="spellEnd"/>
      <w:r w:rsidRPr="003F1940">
        <w:rPr>
          <w:lang w:val="en-GB"/>
        </w:rPr>
        <w:t xml:space="preserve"> CL, </w:t>
      </w:r>
      <w:proofErr w:type="spellStart"/>
      <w:r w:rsidRPr="003F1940">
        <w:rPr>
          <w:lang w:val="en-GB"/>
        </w:rPr>
        <w:t>Reesink</w:t>
      </w:r>
      <w:proofErr w:type="spellEnd"/>
      <w:r w:rsidRPr="003F1940">
        <w:rPr>
          <w:lang w:val="en-GB"/>
        </w:rPr>
        <w:t xml:space="preserve"> HW, </w:t>
      </w:r>
      <w:proofErr w:type="spellStart"/>
      <w:r>
        <w:rPr>
          <w:lang w:val="en-GB"/>
        </w:rPr>
        <w:t>Saracco</w:t>
      </w:r>
      <w:proofErr w:type="spellEnd"/>
      <w:r>
        <w:rPr>
          <w:lang w:val="en-GB"/>
        </w:rPr>
        <w:t xml:space="preserve"> G. Hepatitis C. 1991. </w:t>
      </w:r>
      <w:proofErr w:type="spellStart"/>
      <w:r>
        <w:rPr>
          <w:lang w:val="en-GB"/>
        </w:rPr>
        <w:t>Eurp</w:t>
      </w:r>
      <w:proofErr w:type="spellEnd"/>
      <w:r>
        <w:rPr>
          <w:lang w:val="en-GB"/>
        </w:rPr>
        <w:t xml:space="preserve"> J </w:t>
      </w:r>
      <w:proofErr w:type="spellStart"/>
      <w:r>
        <w:rPr>
          <w:lang w:val="en-GB"/>
        </w:rPr>
        <w:t>Gastroenterol</w:t>
      </w:r>
      <w:proofErr w:type="spellEnd"/>
      <w:r>
        <w:rPr>
          <w:lang w:val="en-GB"/>
        </w:rPr>
        <w:t xml:space="preserve"> and </w:t>
      </w:r>
      <w:proofErr w:type="spellStart"/>
      <w:r>
        <w:rPr>
          <w:lang w:val="en-GB"/>
        </w:rPr>
        <w:t>Hepatol</w:t>
      </w:r>
      <w:proofErr w:type="spellEnd"/>
      <w:r>
        <w:rPr>
          <w:lang w:val="en-GB"/>
        </w:rPr>
        <w:t xml:space="preserve">. </w:t>
      </w:r>
      <w:proofErr w:type="gramStart"/>
      <w:r>
        <w:rPr>
          <w:lang w:val="en-GB"/>
        </w:rPr>
        <w:t>3:</w:t>
      </w:r>
      <w:proofErr w:type="gramEnd"/>
      <w:r>
        <w:rPr>
          <w:lang w:val="en-GB"/>
        </w:rPr>
        <w:t>569</w:t>
      </w:r>
      <w:r>
        <w:rPr>
          <w:lang w:val="en-GB"/>
        </w:rPr>
        <w:noBreakHyphen/>
        <w:t>606.</w:t>
      </w:r>
    </w:p>
    <w:p w:rsidR="00ED6E17" w:rsidRDefault="00ED6E17" w:rsidP="00ED6E17">
      <w:pPr>
        <w:jc w:val="both"/>
        <w:rPr>
          <w:lang w:val="en-GB"/>
        </w:rPr>
      </w:pPr>
      <w:r>
        <w:rPr>
          <w:lang w:val="en-GB"/>
        </w:rPr>
        <w:t xml:space="preserve">Simmonds P, </w:t>
      </w:r>
      <w:proofErr w:type="spellStart"/>
      <w:r>
        <w:rPr>
          <w:lang w:val="en-GB"/>
        </w:rPr>
        <w:t>McOmish</w:t>
      </w:r>
      <w:proofErr w:type="spellEnd"/>
      <w:r>
        <w:rPr>
          <w:lang w:val="en-GB"/>
        </w:rPr>
        <w:t xml:space="preserve"> F, Yap P, Chan SW, Lin C, </w:t>
      </w:r>
      <w:proofErr w:type="spellStart"/>
      <w:r>
        <w:rPr>
          <w:lang w:val="en-GB"/>
        </w:rPr>
        <w:t>Dusheiko</w:t>
      </w:r>
      <w:proofErr w:type="spellEnd"/>
      <w:r>
        <w:rPr>
          <w:lang w:val="en-GB"/>
        </w:rPr>
        <w:t xml:space="preserve"> G, Saeed A, Holmes E. Sequence variability in the 5' non</w:t>
      </w:r>
      <w:r>
        <w:rPr>
          <w:lang w:val="en-GB"/>
        </w:rPr>
        <w:noBreakHyphen/>
        <w:t xml:space="preserve">coding region of hepatitis C </w:t>
      </w:r>
      <w:proofErr w:type="spellStart"/>
      <w:r>
        <w:rPr>
          <w:lang w:val="en-GB"/>
        </w:rPr>
        <w:t>virus</w:t>
      </w:r>
      <w:proofErr w:type="gramStart"/>
      <w:r>
        <w:rPr>
          <w:lang w:val="en-GB"/>
        </w:rPr>
        <w:t>:Identification</w:t>
      </w:r>
      <w:proofErr w:type="spellEnd"/>
      <w:proofErr w:type="gramEnd"/>
      <w:r>
        <w:rPr>
          <w:lang w:val="en-GB"/>
        </w:rPr>
        <w:t xml:space="preserve"> of a new virus type restrictions on sequence diversity. 1993. </w:t>
      </w:r>
      <w:proofErr w:type="spellStart"/>
      <w:r>
        <w:rPr>
          <w:lang w:val="en-GB"/>
        </w:rPr>
        <w:t>J.Gen</w:t>
      </w:r>
      <w:proofErr w:type="spellEnd"/>
      <w:r>
        <w:rPr>
          <w:lang w:val="en-GB"/>
        </w:rPr>
        <w:t xml:space="preserve"> Virology. </w:t>
      </w:r>
      <w:proofErr w:type="gramStart"/>
      <w:r>
        <w:rPr>
          <w:lang w:val="en-GB"/>
        </w:rPr>
        <w:t>74</w:t>
      </w:r>
      <w:proofErr w:type="gramEnd"/>
      <w:r>
        <w:rPr>
          <w:lang w:val="en-GB"/>
        </w:rPr>
        <w:t>:661</w:t>
      </w:r>
      <w:r>
        <w:rPr>
          <w:lang w:val="en-GB"/>
        </w:rPr>
        <w:noBreakHyphen/>
        <w:t>668.</w:t>
      </w:r>
    </w:p>
    <w:p w:rsidR="00ED6E17" w:rsidRDefault="00ED6E17" w:rsidP="00ED6E17">
      <w:pPr>
        <w:rPr>
          <w:lang w:val="en-GB"/>
        </w:rPr>
      </w:pPr>
    </w:p>
    <w:sectPr w:rsidR="00ED6E17" w:rsidSect="00CC5025">
      <w:footerReference w:type="default" r:id="rId14"/>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EC" w:rsidRDefault="00452BEC" w:rsidP="00DD50FD">
      <w:pPr>
        <w:spacing w:after="0" w:line="240" w:lineRule="auto"/>
      </w:pPr>
      <w:r>
        <w:separator/>
      </w:r>
    </w:p>
  </w:endnote>
  <w:endnote w:type="continuationSeparator" w:id="0">
    <w:p w:rsidR="00452BEC" w:rsidRDefault="00452BEC" w:rsidP="00DD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33089"/>
      <w:docPartObj>
        <w:docPartGallery w:val="Page Numbers (Bottom of Page)"/>
        <w:docPartUnique/>
      </w:docPartObj>
    </w:sdtPr>
    <w:sdtEndPr/>
    <w:sdtContent>
      <w:p w:rsidR="00DD50FD" w:rsidRDefault="00DD50FD">
        <w:pPr>
          <w:pStyle w:val="Piedepgina"/>
          <w:jc w:val="right"/>
        </w:pPr>
        <w:r>
          <w:fldChar w:fldCharType="begin"/>
        </w:r>
        <w:r>
          <w:instrText>PAGE   \* MERGEFORMAT</w:instrText>
        </w:r>
        <w:r>
          <w:fldChar w:fldCharType="separate"/>
        </w:r>
        <w:r w:rsidR="00F57E36">
          <w:rPr>
            <w:noProof/>
          </w:rPr>
          <w:t>1</w:t>
        </w:r>
        <w:r>
          <w:fldChar w:fldCharType="end"/>
        </w:r>
      </w:p>
    </w:sdtContent>
  </w:sdt>
  <w:p w:rsidR="00DD50FD" w:rsidRDefault="00DD5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EC" w:rsidRDefault="00452BEC" w:rsidP="00DD50FD">
      <w:pPr>
        <w:spacing w:after="0" w:line="240" w:lineRule="auto"/>
      </w:pPr>
      <w:r>
        <w:separator/>
      </w:r>
    </w:p>
  </w:footnote>
  <w:footnote w:type="continuationSeparator" w:id="0">
    <w:p w:rsidR="00452BEC" w:rsidRDefault="00452BEC" w:rsidP="00DD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3C5"/>
    <w:multiLevelType w:val="hybridMultilevel"/>
    <w:tmpl w:val="4F62D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7305F3"/>
    <w:multiLevelType w:val="hybridMultilevel"/>
    <w:tmpl w:val="DA7C50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150001"/>
    <w:multiLevelType w:val="hybridMultilevel"/>
    <w:tmpl w:val="CAA000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D31CA7"/>
    <w:multiLevelType w:val="hybridMultilevel"/>
    <w:tmpl w:val="84C863E0"/>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F3813C0"/>
    <w:multiLevelType w:val="hybridMultilevel"/>
    <w:tmpl w:val="A03ED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8674F84"/>
    <w:multiLevelType w:val="hybridMultilevel"/>
    <w:tmpl w:val="7CE040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D3"/>
    <w:rsid w:val="0012385D"/>
    <w:rsid w:val="00167B48"/>
    <w:rsid w:val="001D137E"/>
    <w:rsid w:val="00245B74"/>
    <w:rsid w:val="0029092C"/>
    <w:rsid w:val="002D748E"/>
    <w:rsid w:val="00332D91"/>
    <w:rsid w:val="00362CC6"/>
    <w:rsid w:val="00363606"/>
    <w:rsid w:val="00395428"/>
    <w:rsid w:val="004014AA"/>
    <w:rsid w:val="00416560"/>
    <w:rsid w:val="00442ECC"/>
    <w:rsid w:val="00452BEC"/>
    <w:rsid w:val="004D2CB5"/>
    <w:rsid w:val="004F3434"/>
    <w:rsid w:val="00502AF7"/>
    <w:rsid w:val="00502B5E"/>
    <w:rsid w:val="00522FE0"/>
    <w:rsid w:val="005A158D"/>
    <w:rsid w:val="00821DE1"/>
    <w:rsid w:val="008422D3"/>
    <w:rsid w:val="00945624"/>
    <w:rsid w:val="009F3D8C"/>
    <w:rsid w:val="00A1065F"/>
    <w:rsid w:val="00A108C3"/>
    <w:rsid w:val="00A16517"/>
    <w:rsid w:val="00A322C6"/>
    <w:rsid w:val="00A7070C"/>
    <w:rsid w:val="00A85F36"/>
    <w:rsid w:val="00A96835"/>
    <w:rsid w:val="00B05D05"/>
    <w:rsid w:val="00CC5025"/>
    <w:rsid w:val="00D23800"/>
    <w:rsid w:val="00DD50FD"/>
    <w:rsid w:val="00DE12DF"/>
    <w:rsid w:val="00DF174E"/>
    <w:rsid w:val="00ED6E17"/>
    <w:rsid w:val="00F57E36"/>
    <w:rsid w:val="00FB2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DA98"/>
  <w15:chartTrackingRefBased/>
  <w15:docId w15:val="{8E5267BA-3A26-477B-BDDC-C3F905BA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2D3"/>
    <w:pPr>
      <w:ind w:left="720"/>
      <w:contextualSpacing/>
    </w:pPr>
  </w:style>
  <w:style w:type="table" w:styleId="Tablaconcuadrcula">
    <w:name w:val="Table Grid"/>
    <w:basedOn w:val="Tablanormal"/>
    <w:uiPriority w:val="39"/>
    <w:rsid w:val="0050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D50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50FD"/>
  </w:style>
  <w:style w:type="paragraph" w:styleId="Piedepgina">
    <w:name w:val="footer"/>
    <w:basedOn w:val="Normal"/>
    <w:link w:val="PiedepginaCar"/>
    <w:uiPriority w:val="99"/>
    <w:unhideWhenUsed/>
    <w:rsid w:val="00DD50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50FD"/>
  </w:style>
  <w:style w:type="character" w:styleId="Hipervnculo">
    <w:name w:val="Hyperlink"/>
    <w:basedOn w:val="Fuentedeprrafopredeter"/>
    <w:uiPriority w:val="99"/>
    <w:unhideWhenUsed/>
    <w:rsid w:val="004014AA"/>
    <w:rPr>
      <w:color w:val="0563C1" w:themeColor="hyperlink"/>
      <w:u w:val="single"/>
    </w:rPr>
  </w:style>
  <w:style w:type="paragraph" w:styleId="Textoindependiente">
    <w:name w:val="Body Text"/>
    <w:basedOn w:val="Normal"/>
    <w:link w:val="TextoindependienteCar"/>
    <w:uiPriority w:val="1"/>
    <w:qFormat/>
    <w:rsid w:val="00502B5E"/>
    <w:pPr>
      <w:widowControl w:val="0"/>
      <w:autoSpaceDE w:val="0"/>
      <w:autoSpaceDN w:val="0"/>
      <w:spacing w:after="0" w:line="240" w:lineRule="auto"/>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502B5E"/>
    <w:rPr>
      <w:rFonts w:ascii="Times New Roman" w:eastAsia="Times New Roman" w:hAnsi="Times New Roman" w:cs="Times New Roman"/>
      <w:sz w:val="24"/>
      <w:szCs w:val="24"/>
      <w:lang w:eastAsia="es-ES" w:bidi="es-ES"/>
    </w:rPr>
  </w:style>
  <w:style w:type="character" w:customStyle="1" w:styleId="Hypertext">
    <w:name w:val="Hypertext"/>
    <w:rsid w:val="00ED6E17"/>
    <w:rPr>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ca.2do.46@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url?q=https://us04web.zoom.us/j/7320823662?pwd%3DWmVKVzVEZnFMMWJRR2RHOFpxMGI4dz09&amp;sa=D&amp;usd=2&amp;usg=AOvVaw1HMEXelIIh2oqpiZeW7ns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4B"/>
    <w:rsid w:val="000E274B"/>
    <w:rsid w:val="006156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FF618488F744B99254663340013C1E">
    <w:name w:val="84FF618488F744B99254663340013C1E"/>
    <w:rsid w:val="000E274B"/>
  </w:style>
  <w:style w:type="paragraph" w:customStyle="1" w:styleId="56EAF20366B64409B59594B18BE98EB1">
    <w:name w:val="56EAF20366B64409B59594B18BE98EB1"/>
    <w:rsid w:val="000E2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A207-04D9-463D-A7D8-5A813A61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2770</Words>
  <Characters>15240</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Rolf Oberholzer</cp:lastModifiedBy>
  <cp:revision>5</cp:revision>
  <dcterms:created xsi:type="dcterms:W3CDTF">2020-09-27T15:03:00Z</dcterms:created>
  <dcterms:modified xsi:type="dcterms:W3CDTF">2020-09-27T16:11:00Z</dcterms:modified>
</cp:coreProperties>
</file>