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36" w:rsidRDefault="00076A36" w:rsidP="00076A36">
      <w:pPr>
        <w:jc w:val="center"/>
        <w:rPr>
          <w:b/>
          <w:u w:val="single"/>
        </w:rPr>
      </w:pPr>
      <w:r>
        <w:rPr>
          <w:b/>
          <w:u w:val="single"/>
        </w:rPr>
        <w:t>CPEM</w:t>
      </w:r>
      <w:r w:rsidRPr="00EC4DEA">
        <w:rPr>
          <w:b/>
          <w:u w:val="single"/>
        </w:rPr>
        <w:t xml:space="preserve"> Nº 46</w:t>
      </w:r>
    </w:p>
    <w:p w:rsidR="00076A36" w:rsidRDefault="00076A36" w:rsidP="00076A36">
      <w:pPr>
        <w:jc w:val="center"/>
        <w:rPr>
          <w:b/>
          <w:u w:val="single"/>
        </w:rPr>
      </w:pPr>
      <w:r>
        <w:rPr>
          <w:b/>
          <w:u w:val="single"/>
        </w:rPr>
        <w:t>Departamento Jurídico- Contable</w:t>
      </w:r>
    </w:p>
    <w:p w:rsidR="00076A36" w:rsidRDefault="00076A36" w:rsidP="00076A36">
      <w:pPr>
        <w:rPr>
          <w:b/>
        </w:rPr>
      </w:pPr>
      <w:r>
        <w:rPr>
          <w:b/>
          <w:u w:val="single"/>
        </w:rPr>
        <w:t xml:space="preserve">Asignatura: </w:t>
      </w:r>
      <w:r>
        <w:rPr>
          <w:b/>
        </w:rPr>
        <w:t>Contabilidad</w:t>
      </w:r>
    </w:p>
    <w:p w:rsidR="00076A36" w:rsidRDefault="00076A36" w:rsidP="00076A36">
      <w:pPr>
        <w:rPr>
          <w:b/>
        </w:rPr>
      </w:pPr>
      <w:r w:rsidRPr="00EC4DEA">
        <w:rPr>
          <w:b/>
          <w:u w:val="single"/>
        </w:rPr>
        <w:t>Curso</w:t>
      </w:r>
      <w:r>
        <w:rPr>
          <w:b/>
          <w:u w:val="single"/>
        </w:rPr>
        <w:t>s</w:t>
      </w:r>
      <w:r>
        <w:rPr>
          <w:b/>
        </w:rPr>
        <w:t>: 3ºA-B-C-D</w:t>
      </w:r>
    </w:p>
    <w:p w:rsidR="00076A36" w:rsidRDefault="00076A36" w:rsidP="00076A36">
      <w:pPr>
        <w:rPr>
          <w:b/>
          <w:u w:val="single"/>
        </w:rPr>
      </w:pPr>
      <w:r w:rsidRPr="00EC4DEA">
        <w:rPr>
          <w:b/>
          <w:u w:val="single"/>
        </w:rPr>
        <w:t>Apellido y Nombre:</w:t>
      </w:r>
    </w:p>
    <w:p w:rsidR="00740F96" w:rsidRDefault="00D97A2E" w:rsidP="00076A36">
      <w:pPr>
        <w:jc w:val="center"/>
        <w:rPr>
          <w:b/>
        </w:rPr>
      </w:pPr>
      <w:r>
        <w:rPr>
          <w:b/>
          <w:u w:val="single"/>
        </w:rPr>
        <w:t>Actividad: Material de Lectura</w:t>
      </w:r>
      <w:r w:rsidR="00076A36">
        <w:rPr>
          <w:b/>
        </w:rPr>
        <w:t xml:space="preserve"> </w:t>
      </w:r>
      <w:r w:rsidR="007B3AAD">
        <w:rPr>
          <w:b/>
        </w:rPr>
        <w:t xml:space="preserve"> </w:t>
      </w:r>
      <w:r w:rsidR="00076A36">
        <w:rPr>
          <w:b/>
        </w:rPr>
        <w:t xml:space="preserve"> Impuesto al Valor Agregado</w:t>
      </w:r>
      <w:r w:rsidR="00076A36">
        <w:rPr>
          <w:b/>
        </w:rPr>
        <w:t>(continuación)</w:t>
      </w:r>
    </w:p>
    <w:p w:rsidR="00FD6F42" w:rsidRDefault="00FD6F42" w:rsidP="00FD6F42">
      <w:pPr>
        <w:rPr>
          <w:b/>
        </w:rPr>
      </w:pPr>
      <w:r>
        <w:rPr>
          <w:b/>
        </w:rPr>
        <w:t>Consigna: La actividad consistirá en leer el Material enviado y cualquier duda consultar a las/os Profesoras/es</w:t>
      </w:r>
      <w:r w:rsidR="00FF01C1">
        <w:rPr>
          <w:b/>
        </w:rPr>
        <w:t>.</w:t>
      </w:r>
      <w:bookmarkStart w:id="0" w:name="_GoBack"/>
      <w:bookmarkEnd w:id="0"/>
    </w:p>
    <w:p w:rsidR="008A0B2F" w:rsidRPr="008A0B2F" w:rsidRDefault="008A0B2F" w:rsidP="008A0B2F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b/>
          <w:bCs/>
          <w:color w:val="000000"/>
          <w:spacing w:val="-5"/>
          <w:sz w:val="21"/>
          <w:szCs w:val="21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000000"/>
          <w:spacing w:val="-5"/>
          <w:sz w:val="21"/>
          <w:szCs w:val="21"/>
          <w:lang w:eastAsia="es-AR"/>
        </w:rPr>
        <w:t>¿Qué cuentas contables se utilizan para hacer asientos con IVA, cuando se hace una factura A?</w:t>
      </w:r>
    </w:p>
    <w:p w:rsidR="008A0B2F" w:rsidRPr="008A0B2F" w:rsidRDefault="008A0B2F" w:rsidP="008A0B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Si se está realizando una operación de compra se utiliza la cuenta </w:t>
      </w:r>
      <w:r w:rsidRPr="008A0B2F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  <w:t>IVA CRÉDITO FISCAL</w:t>
      </w: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, que es del activo.</w:t>
      </w:r>
    </w:p>
    <w:p w:rsidR="008A0B2F" w:rsidRPr="008A0B2F" w:rsidRDefault="008A0B2F" w:rsidP="008A0B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Si se está realizando una venta se utiliza la cuenta </w:t>
      </w:r>
      <w:r w:rsidRPr="008A0B2F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  <w:t>IVA DÉBITO FISCAL, </w:t>
      </w: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y es del pasivo.</w:t>
      </w:r>
    </w:p>
    <w:p w:rsidR="008A0B2F" w:rsidRP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Más adelante en el artículo, cuando veamos la liquidación mensual del IVA se verán otra cuenta más.</w:t>
      </w:r>
    </w:p>
    <w:p w:rsidR="008A0B2F" w:rsidRPr="008A0B2F" w:rsidRDefault="008A0B2F" w:rsidP="008A0B2F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000000"/>
          <w:spacing w:val="-5"/>
          <w:sz w:val="27"/>
          <w:szCs w:val="27"/>
          <w:lang w:eastAsia="es-AR"/>
        </w:rPr>
        <w:t>Asientos con IVA discriminado – Registración contable</w:t>
      </w:r>
    </w:p>
    <w:p w:rsidR="008A0B2F" w:rsidRPr="008A0B2F" w:rsidRDefault="008A0B2F" w:rsidP="008A0B2F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b/>
          <w:bCs/>
          <w:color w:val="000000"/>
          <w:spacing w:val="-5"/>
          <w:sz w:val="21"/>
          <w:szCs w:val="21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000000"/>
          <w:spacing w:val="-5"/>
          <w:sz w:val="21"/>
          <w:szCs w:val="21"/>
          <w:lang w:eastAsia="es-AR"/>
        </w:rPr>
        <w:t>Ejemplo de registración contable de una compra con IVA discriminado</w:t>
      </w:r>
    </w:p>
    <w:p w:rsidR="008A0B2F" w:rsidRP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Se compran mercaderías por $12.000 entre dos responsables inscriptos. IVA 21%</w:t>
      </w:r>
    </w:p>
    <w:p w:rsidR="008A0B2F" w:rsidRP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Primero lo que hacemos es calcular el IVA</w:t>
      </w:r>
    </w:p>
    <w:p w:rsidR="008A0B2F" w:rsidRPr="008A0B2F" w:rsidRDefault="008A0B2F" w:rsidP="008A0B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  <w:t>Precio Bruto + IVA (21%) = Precio Neto</w:t>
      </w:r>
    </w:p>
    <w:p w:rsidR="008A0B2F" w:rsidRDefault="008A0B2F" w:rsidP="008A0B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  <w:t>12.000 + 2.520 = 14.520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355"/>
        <w:gridCol w:w="1617"/>
        <w:gridCol w:w="1356"/>
        <w:gridCol w:w="1384"/>
        <w:gridCol w:w="1384"/>
      </w:tblGrid>
      <w:tr w:rsidR="00065A02" w:rsidTr="00065A02">
        <w:tc>
          <w:tcPr>
            <w:tcW w:w="1415" w:type="dxa"/>
          </w:tcPr>
          <w:p w:rsidR="00065A02" w:rsidRDefault="00DD716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1415" w:type="dxa"/>
          </w:tcPr>
          <w:p w:rsidR="00065A02" w:rsidRDefault="00DD716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1416" w:type="dxa"/>
          </w:tcPr>
          <w:p w:rsidR="00065A02" w:rsidRDefault="00DD716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Detalle</w:t>
            </w:r>
          </w:p>
        </w:tc>
        <w:tc>
          <w:tcPr>
            <w:tcW w:w="1416" w:type="dxa"/>
          </w:tcPr>
          <w:p w:rsidR="00065A02" w:rsidRDefault="00DD716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VP</w:t>
            </w:r>
          </w:p>
        </w:tc>
        <w:tc>
          <w:tcPr>
            <w:tcW w:w="1416" w:type="dxa"/>
          </w:tcPr>
          <w:p w:rsidR="00065A02" w:rsidRDefault="00DD716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Debe</w:t>
            </w:r>
          </w:p>
        </w:tc>
        <w:tc>
          <w:tcPr>
            <w:tcW w:w="1416" w:type="dxa"/>
          </w:tcPr>
          <w:p w:rsidR="00065A02" w:rsidRDefault="00DD716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Haber</w:t>
            </w:r>
          </w:p>
        </w:tc>
      </w:tr>
      <w:tr w:rsidR="00065A02" w:rsidTr="00065A02">
        <w:tc>
          <w:tcPr>
            <w:tcW w:w="1415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16/10/20</w:t>
            </w:r>
          </w:p>
        </w:tc>
        <w:tc>
          <w:tcPr>
            <w:tcW w:w="1415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+A</w:t>
            </w: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Mercaderías</w:t>
            </w: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12.000</w:t>
            </w: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</w:tr>
      <w:tr w:rsidR="00065A02" w:rsidTr="00065A02">
        <w:tc>
          <w:tcPr>
            <w:tcW w:w="1415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5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 xml:space="preserve">+A </w:t>
            </w: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Iva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 xml:space="preserve"> Crédito Fiscal</w:t>
            </w: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2520</w:t>
            </w: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</w:tr>
      <w:tr w:rsidR="00065A02" w:rsidTr="00065A02">
        <w:tc>
          <w:tcPr>
            <w:tcW w:w="1415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5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-A</w:t>
            </w: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Caja</w:t>
            </w: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14.520</w:t>
            </w:r>
          </w:p>
        </w:tc>
      </w:tr>
      <w:tr w:rsidR="00065A02" w:rsidTr="00065A02">
        <w:tc>
          <w:tcPr>
            <w:tcW w:w="1415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5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1B54D0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  <w:t>S/ Factura Original</w:t>
            </w: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065A02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eastAsia="es-AR"/>
              </w:rPr>
            </w:pPr>
          </w:p>
        </w:tc>
      </w:tr>
    </w:tbl>
    <w:p w:rsidR="00065A02" w:rsidRDefault="00065A02" w:rsidP="00065A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</w:pPr>
    </w:p>
    <w:p w:rsid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</w:pPr>
    </w:p>
    <w:p w:rsidR="008A0B2F" w:rsidRPr="008A0B2F" w:rsidRDefault="008A0B2F" w:rsidP="008A0B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Asientos con IVA – Registración de IVA Crédito Fiscal</w:t>
      </w:r>
    </w:p>
    <w:p w:rsidR="008A0B2F" w:rsidRPr="008A0B2F" w:rsidRDefault="008A0B2F" w:rsidP="008A0B2F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b/>
          <w:bCs/>
          <w:color w:val="000000"/>
          <w:spacing w:val="-5"/>
          <w:sz w:val="21"/>
          <w:szCs w:val="21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000000"/>
          <w:spacing w:val="-5"/>
          <w:sz w:val="21"/>
          <w:szCs w:val="21"/>
          <w:lang w:eastAsia="es-AR"/>
        </w:rPr>
        <w:t>Ejemplo de registración contable de una venta con IVA discriminado</w:t>
      </w:r>
    </w:p>
    <w:p w:rsidR="008A0B2F" w:rsidRP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t>Se venden mercaderías por $18.000 en efectivo. La operación se realiza entre dos responsables inscriptos. IVA 21%</w:t>
      </w:r>
    </w:p>
    <w:p w:rsidR="008A0B2F" w:rsidRP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  <w:lastRenderedPageBreak/>
        <w:t>Primero lo que hacemos es calcular el IVA</w:t>
      </w:r>
    </w:p>
    <w:p w:rsidR="008A0B2F" w:rsidRPr="008A0B2F" w:rsidRDefault="008A0B2F" w:rsidP="008A0B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  <w:t>Precio Bruto + IVA (21%) = Precio Neto</w:t>
      </w:r>
    </w:p>
    <w:p w:rsidR="008A0B2F" w:rsidRDefault="008A0B2F" w:rsidP="008A0B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</w:pPr>
      <w:r w:rsidRPr="008A0B2F">
        <w:rPr>
          <w:rFonts w:ascii="Helvetica" w:eastAsia="Times New Roman" w:hAnsi="Helvetica" w:cs="Helvetica"/>
          <w:b/>
          <w:bCs/>
          <w:color w:val="404040"/>
          <w:sz w:val="24"/>
          <w:szCs w:val="24"/>
          <w:lang w:eastAsia="es-AR"/>
        </w:rPr>
        <w:t>18.000 + 3.780 = 21.780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701"/>
        <w:gridCol w:w="1131"/>
        <w:gridCol w:w="1416"/>
        <w:gridCol w:w="1416"/>
      </w:tblGrid>
      <w:tr w:rsidR="00065A02" w:rsidTr="00AD203A">
        <w:tc>
          <w:tcPr>
            <w:tcW w:w="1415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1415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1701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Detalle</w:t>
            </w:r>
          </w:p>
        </w:tc>
        <w:tc>
          <w:tcPr>
            <w:tcW w:w="1131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VP</w:t>
            </w:r>
          </w:p>
        </w:tc>
        <w:tc>
          <w:tcPr>
            <w:tcW w:w="1416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Debe</w:t>
            </w:r>
          </w:p>
        </w:tc>
        <w:tc>
          <w:tcPr>
            <w:tcW w:w="1416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Haber</w:t>
            </w:r>
          </w:p>
        </w:tc>
      </w:tr>
      <w:tr w:rsidR="00065A02" w:rsidTr="00AD203A">
        <w:tc>
          <w:tcPr>
            <w:tcW w:w="1415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19/10</w:t>
            </w:r>
          </w:p>
        </w:tc>
        <w:tc>
          <w:tcPr>
            <w:tcW w:w="1415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+A</w:t>
            </w:r>
          </w:p>
        </w:tc>
        <w:tc>
          <w:tcPr>
            <w:tcW w:w="1701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Caja</w:t>
            </w:r>
          </w:p>
        </w:tc>
        <w:tc>
          <w:tcPr>
            <w:tcW w:w="1131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56454B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21780</w:t>
            </w:r>
          </w:p>
        </w:tc>
        <w:tc>
          <w:tcPr>
            <w:tcW w:w="1416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</w:tr>
      <w:tr w:rsidR="00065A02" w:rsidTr="00AD203A">
        <w:tc>
          <w:tcPr>
            <w:tcW w:w="1415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5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+RP</w:t>
            </w:r>
          </w:p>
        </w:tc>
        <w:tc>
          <w:tcPr>
            <w:tcW w:w="1701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Ventas</w:t>
            </w:r>
          </w:p>
        </w:tc>
        <w:tc>
          <w:tcPr>
            <w:tcW w:w="1131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56454B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18.000</w:t>
            </w:r>
          </w:p>
        </w:tc>
      </w:tr>
      <w:tr w:rsidR="00065A02" w:rsidTr="00AD203A">
        <w:tc>
          <w:tcPr>
            <w:tcW w:w="1415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5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+P</w:t>
            </w:r>
          </w:p>
        </w:tc>
        <w:tc>
          <w:tcPr>
            <w:tcW w:w="1701" w:type="dxa"/>
          </w:tcPr>
          <w:p w:rsidR="00065A02" w:rsidRDefault="00AD203A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Iva</w:t>
            </w:r>
            <w:proofErr w:type="spellEnd"/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 xml:space="preserve"> Débito Fiscal</w:t>
            </w:r>
          </w:p>
        </w:tc>
        <w:tc>
          <w:tcPr>
            <w:tcW w:w="1131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56454B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3780</w:t>
            </w:r>
          </w:p>
        </w:tc>
      </w:tr>
      <w:tr w:rsidR="00065A02" w:rsidTr="00AD203A">
        <w:tc>
          <w:tcPr>
            <w:tcW w:w="1415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5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701" w:type="dxa"/>
          </w:tcPr>
          <w:p w:rsidR="00065A02" w:rsidRDefault="0056454B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  <w:r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  <w:t>S/ Factura Duplicado</w:t>
            </w:r>
          </w:p>
        </w:tc>
        <w:tc>
          <w:tcPr>
            <w:tcW w:w="1131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spacing w:after="150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eastAsia="es-AR"/>
              </w:rPr>
            </w:pPr>
          </w:p>
        </w:tc>
      </w:tr>
    </w:tbl>
    <w:p w:rsidR="00065A02" w:rsidRPr="008A0B2F" w:rsidRDefault="00065A02" w:rsidP="008A0B2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</w:p>
    <w:p w:rsidR="008A0B2F" w:rsidRDefault="008A0B2F" w:rsidP="008A0B2F">
      <w:pPr>
        <w:pStyle w:val="Ttulo4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pacing w:val="-5"/>
          <w:sz w:val="27"/>
          <w:szCs w:val="27"/>
        </w:rPr>
      </w:pPr>
      <w:r>
        <w:rPr>
          <w:rFonts w:ascii="Helvetica" w:hAnsi="Helvetica" w:cs="Helvetica"/>
          <w:color w:val="000000"/>
          <w:spacing w:val="-5"/>
          <w:sz w:val="27"/>
          <w:szCs w:val="27"/>
        </w:rPr>
        <w:t>Liquidación mensual del IVA</w:t>
      </w:r>
    </w:p>
    <w:p w:rsidR="008A0B2F" w:rsidRDefault="008A0B2F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Al finalizar el mes se debe realizar contablemente la liquidación del IVA, para determinar el saldo o posición final del IVA. Para ello lo que tendremos que hacer es un cuadro donde registraremos de un lado todos los IVA Crédito Fiscal, y del otro todos los IVA Débito Fiscal y los sumaremos, y comparamos. ¿Cuáles son las posibilidades que se pueden dar?</w:t>
      </w:r>
    </w:p>
    <w:p w:rsidR="008A0B2F" w:rsidRDefault="008A0B2F" w:rsidP="008A0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Que el IVA Crédito sea mayor al IVA Débito entonces tendremos </w:t>
      </w:r>
      <w:r>
        <w:rPr>
          <w:rStyle w:val="Textoennegrita"/>
          <w:rFonts w:ascii="Helvetica" w:hAnsi="Helvetica" w:cs="Helvetica"/>
          <w:color w:val="404040"/>
        </w:rPr>
        <w:t>IVA A FAVOR (A+)</w:t>
      </w:r>
    </w:p>
    <w:p w:rsidR="008A0B2F" w:rsidRDefault="008A0B2F" w:rsidP="008A0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Que el IVA Débito sea mayor al IVA Crédito entonces tendremos </w:t>
      </w:r>
      <w:r>
        <w:rPr>
          <w:rStyle w:val="Textoennegrita"/>
          <w:rFonts w:ascii="Helvetica" w:hAnsi="Helvetica" w:cs="Helvetica"/>
          <w:color w:val="404040"/>
        </w:rPr>
        <w:t>IVA A PAGAR (P+)</w:t>
      </w:r>
    </w:p>
    <w:p w:rsidR="008A0B2F" w:rsidRDefault="008A0B2F" w:rsidP="008A0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Que ambos sean iguales (aunque probalísticamente sea casi imposible que se dé esta situación) </w:t>
      </w:r>
      <w:r>
        <w:rPr>
          <w:rStyle w:val="Textoennegrita"/>
          <w:rFonts w:ascii="Helvetica" w:hAnsi="Helvetica" w:cs="Helvetica"/>
          <w:color w:val="404040"/>
        </w:rPr>
        <w:t>no se utiliza ninguna cuenta contable</w:t>
      </w:r>
    </w:p>
    <w:p w:rsidR="008A0B2F" w:rsidRDefault="008A0B2F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De éstos tres casos mencionados recién, el caso que más veces se va a repetir es el primero, es decir que el IVA débito es mayor al IVA crédito debido a que el precio de venta tiene añadido los márgenes de ganancias en relación el precio de compra, por eso para una mayor recaudación se aplica sobre las ventas y no sobre las compras. Aunque, ocasionalmente, puede que se </w:t>
      </w:r>
      <w:r>
        <w:rPr>
          <w:rFonts w:ascii="Helvetica" w:hAnsi="Helvetica" w:cs="Helvetica"/>
          <w:color w:val="404040"/>
        </w:rPr>
        <w:t>dé</w:t>
      </w:r>
      <w:r>
        <w:rPr>
          <w:rFonts w:ascii="Helvetica" w:hAnsi="Helvetica" w:cs="Helvetica"/>
          <w:color w:val="404040"/>
        </w:rPr>
        <w:t xml:space="preserve"> la segunda situación, por </w:t>
      </w:r>
      <w:r>
        <w:rPr>
          <w:rFonts w:ascii="Helvetica" w:hAnsi="Helvetica" w:cs="Helvetica"/>
          <w:color w:val="404040"/>
        </w:rPr>
        <w:t>ejemplo,</w:t>
      </w:r>
      <w:r>
        <w:rPr>
          <w:rFonts w:ascii="Helvetica" w:hAnsi="Helvetica" w:cs="Helvetica"/>
          <w:color w:val="404040"/>
        </w:rPr>
        <w:t xml:space="preserve"> ante la compra de una maquinaria, o rodado, o bien de un valor de compra grande.</w:t>
      </w:r>
    </w:p>
    <w:p w:rsidR="008A0B2F" w:rsidRDefault="008A0B2F" w:rsidP="008A0B2F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¿Cuál es el paso siguiente? Restar ambos saldos (siempre el más grande con el más chico) y registrar contablemente dicha posición final del IVA.</w:t>
      </w:r>
    </w:p>
    <w:p w:rsidR="008A0B2F" w:rsidRDefault="008A0B2F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Por </w:t>
      </w:r>
      <w:r>
        <w:rPr>
          <w:rFonts w:ascii="Helvetica" w:hAnsi="Helvetica" w:cs="Helvetica"/>
          <w:color w:val="404040"/>
        </w:rPr>
        <w:t>último,</w:t>
      </w:r>
      <w:r>
        <w:rPr>
          <w:rFonts w:ascii="Helvetica" w:hAnsi="Helvetica" w:cs="Helvetica"/>
          <w:color w:val="404040"/>
        </w:rPr>
        <w:t xml:space="preserve"> para registrar todo esto en el Libro Diario, lo que se debe hacer es invertir en el asiento los IVAs. Es </w:t>
      </w:r>
      <w:r>
        <w:rPr>
          <w:rFonts w:ascii="Helvetica" w:hAnsi="Helvetica" w:cs="Helvetica"/>
          <w:color w:val="404040"/>
        </w:rPr>
        <w:t>decir,</w:t>
      </w:r>
      <w:r>
        <w:rPr>
          <w:rFonts w:ascii="Helvetica" w:hAnsi="Helvetica" w:cs="Helvetica"/>
          <w:color w:val="404040"/>
        </w:rPr>
        <w:t xml:space="preserve"> el IVA Crédito Fiscal, que en el asiento lo pusimos como A+ en el Debe, ahora lo pondremos en el Haber como A- con el valor de la sumatoria de todos los créditos fiscales que calculamos recién.</w:t>
      </w:r>
    </w:p>
    <w:p w:rsidR="008A0B2F" w:rsidRDefault="008A0B2F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Lo mismo haremos con los IVA Débito Fiscal, que estaban como P+ en el el Haber, los pondremos </w:t>
      </w:r>
      <w:r>
        <w:rPr>
          <w:rFonts w:ascii="Helvetica" w:hAnsi="Helvetica" w:cs="Helvetica"/>
          <w:color w:val="404040"/>
        </w:rPr>
        <w:t>en</w:t>
      </w:r>
      <w:r>
        <w:rPr>
          <w:rFonts w:ascii="Helvetica" w:hAnsi="Helvetica" w:cs="Helvetica"/>
          <w:color w:val="404040"/>
        </w:rPr>
        <w:t xml:space="preserve"> el Debe como P-. Por </w:t>
      </w:r>
      <w:r>
        <w:rPr>
          <w:rFonts w:ascii="Helvetica" w:hAnsi="Helvetica" w:cs="Helvetica"/>
          <w:color w:val="404040"/>
        </w:rPr>
        <w:t>último,</w:t>
      </w:r>
      <w:r>
        <w:rPr>
          <w:rFonts w:ascii="Helvetica" w:hAnsi="Helvetica" w:cs="Helvetica"/>
          <w:color w:val="404040"/>
        </w:rPr>
        <w:t xml:space="preserve"> pondremos IVA a favor o IVA a pagar, según corresponda, como nos haya dado el ejercicio.</w:t>
      </w:r>
    </w:p>
    <w:p w:rsidR="008A0B2F" w:rsidRDefault="008A0B2F" w:rsidP="008A0B2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6"/>
          <w:szCs w:val="26"/>
        </w:rPr>
      </w:pPr>
      <w:r>
        <w:rPr>
          <w:rFonts w:ascii="Helvetica" w:hAnsi="Helvetica" w:cs="Helvetica"/>
          <w:color w:val="404040"/>
          <w:sz w:val="26"/>
          <w:szCs w:val="26"/>
        </w:rPr>
        <w:t xml:space="preserve">Esta forma de resolverlo es una simplificación pedagógica para explicar el tema. En una situación contable real se hace a través de los libros IVA </w:t>
      </w:r>
      <w:r>
        <w:rPr>
          <w:rFonts w:ascii="Helvetica" w:hAnsi="Helvetica" w:cs="Helvetica"/>
          <w:color w:val="404040"/>
          <w:sz w:val="26"/>
          <w:szCs w:val="26"/>
        </w:rPr>
        <w:lastRenderedPageBreak/>
        <w:t>Compras – IVA Ventas, donde se detallan más datos de la transacción comercial.</w:t>
      </w:r>
    </w:p>
    <w:p w:rsidR="008A0B2F" w:rsidRDefault="008A0B2F" w:rsidP="008A0B2F">
      <w:pPr>
        <w:pStyle w:val="Ttulo5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pacing w:val="-5"/>
          <w:sz w:val="21"/>
          <w:szCs w:val="21"/>
        </w:rPr>
      </w:pPr>
      <w:r>
        <w:rPr>
          <w:rFonts w:ascii="Helvetica" w:hAnsi="Helvetica" w:cs="Helvetica"/>
          <w:color w:val="000000"/>
          <w:spacing w:val="-5"/>
          <w:sz w:val="21"/>
          <w:szCs w:val="21"/>
        </w:rPr>
        <w:t>Ejemplo de saldo IVA a pagar</w:t>
      </w:r>
    </w:p>
    <w:p w:rsidR="008A0B2F" w:rsidRDefault="008A0B2F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Para explicarlo tomaremos como ejemplo los datos del ejemplo del ejercicio anterior. Teníamos IVA crédito fiscal por $2520 e IVA débito fiscal por $3780. Como el Debito es mayor al Crédito, nos dará como posición final IVA a pagar por $1.260 (la diferencia entre el débito y el crédito)</w:t>
      </w:r>
    </w:p>
    <w:p w:rsidR="009273E8" w:rsidRDefault="009273E8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noProof/>
        </w:rPr>
        <w:drawing>
          <wp:inline distT="0" distB="0" distL="0" distR="0">
            <wp:extent cx="3276600" cy="2409825"/>
            <wp:effectExtent l="0" t="0" r="0" b="9525"/>
            <wp:docPr id="1" name="Imagen 1" descr="https://i2.wp.com/www.ensambledeideas.com/wp-content/uploads/2020/06/IVA-A-PAGAR.png?resize=344%2C2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ensambledeideas.com/wp-content/uploads/2020/06/IVA-A-PAGAR.png?resize=344%2C253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65A02" w:rsidTr="00065A02">
        <w:tc>
          <w:tcPr>
            <w:tcW w:w="1415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Fecha</w:t>
            </w:r>
          </w:p>
        </w:tc>
        <w:tc>
          <w:tcPr>
            <w:tcW w:w="1415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M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Detalle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VP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Debe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Haber</w:t>
            </w:r>
          </w:p>
        </w:tc>
      </w:tr>
      <w:tr w:rsidR="00065A02" w:rsidTr="00065A02">
        <w:tc>
          <w:tcPr>
            <w:tcW w:w="1415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31/10/20</w:t>
            </w:r>
          </w:p>
        </w:tc>
        <w:tc>
          <w:tcPr>
            <w:tcW w:w="1415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-P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proofErr w:type="spellStart"/>
            <w:r>
              <w:rPr>
                <w:rFonts w:ascii="Helvetica" w:hAnsi="Helvetica" w:cs="Helvetica"/>
                <w:color w:val="404040"/>
              </w:rPr>
              <w:t>Iva</w:t>
            </w:r>
            <w:proofErr w:type="spellEnd"/>
            <w:r>
              <w:rPr>
                <w:rFonts w:ascii="Helvetica" w:hAnsi="Helvetica" w:cs="Helvetica"/>
                <w:color w:val="404040"/>
              </w:rPr>
              <w:t xml:space="preserve"> Débito Fiscal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3780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</w:tr>
      <w:tr w:rsidR="00065A02" w:rsidTr="00065A02"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5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-A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proofErr w:type="spellStart"/>
            <w:r>
              <w:rPr>
                <w:rFonts w:ascii="Helvetica" w:hAnsi="Helvetica" w:cs="Helvetica"/>
                <w:color w:val="404040"/>
              </w:rPr>
              <w:t>Iva</w:t>
            </w:r>
            <w:proofErr w:type="spellEnd"/>
            <w:r>
              <w:rPr>
                <w:rFonts w:ascii="Helvetica" w:hAnsi="Helvetica" w:cs="Helvetica"/>
                <w:color w:val="404040"/>
              </w:rPr>
              <w:t xml:space="preserve"> Crédito Fiscal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56454B" w:rsidP="0056454B">
            <w:pPr>
              <w:pStyle w:val="has-text-align-justify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2520</w:t>
            </w:r>
          </w:p>
        </w:tc>
      </w:tr>
      <w:tr w:rsidR="00065A02" w:rsidTr="00065A02"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5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+P</w:t>
            </w: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Saldo a Pagar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56454B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1260</w:t>
            </w:r>
          </w:p>
        </w:tc>
      </w:tr>
      <w:tr w:rsidR="00065A02" w:rsidTr="00065A02"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802570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S/ Posición Mensual del IVA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</w:tr>
    </w:tbl>
    <w:p w:rsidR="00065A02" w:rsidRDefault="00065A02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</w:p>
    <w:p w:rsidR="009273E8" w:rsidRDefault="009273E8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R</w:t>
      </w:r>
      <w:r>
        <w:rPr>
          <w:rFonts w:ascii="Helvetica" w:hAnsi="Helvetica" w:cs="Helvetica"/>
          <w:color w:val="404040"/>
          <w:shd w:val="clear" w:color="auto" w:fill="FFFFFF"/>
        </w:rPr>
        <w:t>ecordemos que para realizar el asiento de liquidación o posición final del IVA había que invertir las cuentas contables, es decir IVA Crédito Fiscal del Debe pasa al Haber, y el IVA Débito del Haber pasa al Debe. El Saldo dio IVA a pagar que como es P+ se ubica en el Haber</w:t>
      </w:r>
    </w:p>
    <w:p w:rsidR="00FD6F42" w:rsidRDefault="00FD6F42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  <w:shd w:val="clear" w:color="auto" w:fill="FFFFFF"/>
        </w:rPr>
      </w:pPr>
    </w:p>
    <w:p w:rsidR="00FD6F42" w:rsidRDefault="00FD6F42" w:rsidP="00FD6F42">
      <w:pPr>
        <w:pStyle w:val="Ttulo5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pacing w:val="-5"/>
          <w:sz w:val="21"/>
          <w:szCs w:val="21"/>
        </w:rPr>
      </w:pPr>
      <w:r>
        <w:rPr>
          <w:rFonts w:ascii="Helvetica" w:hAnsi="Helvetica" w:cs="Helvetica"/>
          <w:color w:val="000000"/>
          <w:spacing w:val="-5"/>
          <w:sz w:val="21"/>
          <w:szCs w:val="21"/>
        </w:rPr>
        <w:t>Ejemplo de saldo IVA a Favor</w:t>
      </w:r>
    </w:p>
    <w:p w:rsidR="00FD6F42" w:rsidRDefault="00FD6F42" w:rsidP="00FD6F4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Supongamos que al finalizar el mes tenemos los siguientes IVA Crédito e IVA Débito</w:t>
      </w:r>
    </w:p>
    <w:p w:rsidR="00FD6F42" w:rsidRDefault="00FD6F42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  <w:r>
        <w:rPr>
          <w:noProof/>
        </w:rPr>
        <w:lastRenderedPageBreak/>
        <w:drawing>
          <wp:inline distT="0" distB="0" distL="0" distR="0">
            <wp:extent cx="3276600" cy="2428875"/>
            <wp:effectExtent l="0" t="0" r="0" b="9525"/>
            <wp:docPr id="2" name="Imagen 2" descr="https://i0.wp.com/www.ensambledeideas.com/wp-content/uploads/2020/06/IVA-AFAVOR.png?resize=344%2C25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ensambledeideas.com/wp-content/uploads/2020/06/IVA-AFAVOR.png?resize=344%2C255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42" w:rsidRDefault="00FD6F42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La registración contable se hace igual que el caso anterior invirtiendo los IVA Crédito y Débito, y registrando la situación del IVA a favor, que al ser de A+ la pondremos en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el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1332"/>
        <w:gridCol w:w="1711"/>
        <w:gridCol w:w="1335"/>
        <w:gridCol w:w="1358"/>
        <w:gridCol w:w="1367"/>
      </w:tblGrid>
      <w:tr w:rsidR="00065A02" w:rsidTr="00065A02">
        <w:tc>
          <w:tcPr>
            <w:tcW w:w="1415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Fecha</w:t>
            </w:r>
          </w:p>
        </w:tc>
        <w:tc>
          <w:tcPr>
            <w:tcW w:w="1415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M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Detalle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VP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Debe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Haber</w:t>
            </w:r>
          </w:p>
        </w:tc>
      </w:tr>
      <w:tr w:rsidR="00065A02" w:rsidTr="00065A02">
        <w:tc>
          <w:tcPr>
            <w:tcW w:w="1415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31/10/20</w:t>
            </w:r>
          </w:p>
        </w:tc>
        <w:tc>
          <w:tcPr>
            <w:tcW w:w="1415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-P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proofErr w:type="spellStart"/>
            <w:r>
              <w:rPr>
                <w:rFonts w:ascii="Helvetica" w:hAnsi="Helvetica" w:cs="Helvetica"/>
                <w:color w:val="404040"/>
              </w:rPr>
              <w:t>Iva</w:t>
            </w:r>
            <w:proofErr w:type="spellEnd"/>
            <w:r>
              <w:rPr>
                <w:rFonts w:ascii="Helvetica" w:hAnsi="Helvetica" w:cs="Helvetica"/>
                <w:color w:val="404040"/>
              </w:rPr>
              <w:t xml:space="preserve"> Débito Fiscal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5750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</w:tr>
      <w:tr w:rsidR="00065A02" w:rsidTr="00065A02"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5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-A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proofErr w:type="spellStart"/>
            <w:r>
              <w:rPr>
                <w:rFonts w:ascii="Helvetica" w:hAnsi="Helvetica" w:cs="Helvetica"/>
                <w:color w:val="404040"/>
              </w:rPr>
              <w:t>Iva</w:t>
            </w:r>
            <w:proofErr w:type="spellEnd"/>
            <w:r>
              <w:rPr>
                <w:rFonts w:ascii="Helvetica" w:hAnsi="Helvetica" w:cs="Helvetica"/>
                <w:color w:val="404040"/>
              </w:rPr>
              <w:t xml:space="preserve"> Crédito Fiscal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11200</w:t>
            </w:r>
          </w:p>
        </w:tc>
      </w:tr>
      <w:tr w:rsidR="00065A02" w:rsidTr="00065A02"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5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+A</w:t>
            </w: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Saldo a Favor del Contribuyente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5450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</w:tr>
      <w:tr w:rsidR="00065A02" w:rsidTr="00065A02"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5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166FE4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S/ Posición Mensual del IVA</w:t>
            </w: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1416" w:type="dxa"/>
          </w:tcPr>
          <w:p w:rsidR="00065A02" w:rsidRDefault="00065A02" w:rsidP="008A0B2F">
            <w:pPr>
              <w:pStyle w:val="has-text-align-justify"/>
              <w:spacing w:before="0" w:beforeAutospacing="0" w:after="150" w:afterAutospacing="0"/>
              <w:jc w:val="both"/>
              <w:rPr>
                <w:rFonts w:ascii="Helvetica" w:hAnsi="Helvetica" w:cs="Helvetica"/>
                <w:color w:val="404040"/>
              </w:rPr>
            </w:pPr>
          </w:p>
        </w:tc>
      </w:tr>
    </w:tbl>
    <w:p w:rsidR="00065A02" w:rsidRDefault="00065A02" w:rsidP="008A0B2F">
      <w:pPr>
        <w:pStyle w:val="has-text-align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04040"/>
        </w:rPr>
      </w:pPr>
    </w:p>
    <w:p w:rsidR="008A0B2F" w:rsidRPr="008A0B2F" w:rsidRDefault="008A0B2F" w:rsidP="008A0B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s-AR"/>
        </w:rPr>
      </w:pPr>
    </w:p>
    <w:p w:rsidR="00076A36" w:rsidRDefault="00076A36" w:rsidP="00076A36"/>
    <w:sectPr w:rsidR="00076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AD8"/>
    <w:multiLevelType w:val="multilevel"/>
    <w:tmpl w:val="F12E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6"/>
    <w:rsid w:val="00065A02"/>
    <w:rsid w:val="00076A36"/>
    <w:rsid w:val="00166FE4"/>
    <w:rsid w:val="001B54D0"/>
    <w:rsid w:val="005433F4"/>
    <w:rsid w:val="0056454B"/>
    <w:rsid w:val="00740F96"/>
    <w:rsid w:val="007B3AAD"/>
    <w:rsid w:val="00802570"/>
    <w:rsid w:val="008A0B2F"/>
    <w:rsid w:val="009273E8"/>
    <w:rsid w:val="009F141C"/>
    <w:rsid w:val="00AD203A"/>
    <w:rsid w:val="00D97A2E"/>
    <w:rsid w:val="00DD7160"/>
    <w:rsid w:val="00FD6F42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CA6"/>
  <w15:chartTrackingRefBased/>
  <w15:docId w15:val="{0190D276-6C26-432E-9A09-F47B308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36"/>
  </w:style>
  <w:style w:type="paragraph" w:styleId="Ttulo4">
    <w:name w:val="heading 4"/>
    <w:basedOn w:val="Normal"/>
    <w:link w:val="Ttulo4Car"/>
    <w:uiPriority w:val="9"/>
    <w:qFormat/>
    <w:rsid w:val="008A0B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link w:val="Ttulo5Car"/>
    <w:uiPriority w:val="9"/>
    <w:qFormat/>
    <w:rsid w:val="008A0B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A0B2F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8A0B2F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has-text-align-justify">
    <w:name w:val="has-text-align-justify"/>
    <w:basedOn w:val="Normal"/>
    <w:rsid w:val="008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A0B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has-text-align-center">
    <w:name w:val="has-text-align-center"/>
    <w:basedOn w:val="Normal"/>
    <w:rsid w:val="008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06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9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4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62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2020-10-19T15:38:00Z</dcterms:created>
  <dcterms:modified xsi:type="dcterms:W3CDTF">2020-10-19T16:21:00Z</dcterms:modified>
</cp:coreProperties>
</file>